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Layout w:type="autofit"/>
        <w:tblCellMar>
          <w:top w:w="0" w:type="dxa"/>
          <w:left w:w="108" w:type="dxa"/>
          <w:bottom w:w="0" w:type="dxa"/>
          <w:right w:w="108" w:type="dxa"/>
        </w:tblCellMar>
      </w:tblPr>
      <w:tblGrid>
        <w:gridCol w:w="2840"/>
        <w:gridCol w:w="2841"/>
        <w:gridCol w:w="2841"/>
      </w:tblGrid>
      <w:tr w14:paraId="45FA295C">
        <w:tblPrEx>
          <w:tblCellMar>
            <w:top w:w="0" w:type="dxa"/>
            <w:left w:w="108" w:type="dxa"/>
            <w:bottom w:w="0" w:type="dxa"/>
            <w:right w:w="108" w:type="dxa"/>
          </w:tblCellMar>
        </w:tblPrEx>
        <w:trPr>
          <w:wBefore w:w="0" w:type="dxa"/>
        </w:trPr>
        <w:tc>
          <w:tcPr>
            <w:tcW w:w="1666" w:type="pct"/>
            <w:noWrap w:val="0"/>
            <w:vAlign w:val="top"/>
          </w:tcPr>
          <w:p w14:paraId="4AC1C328">
            <w:pPr>
              <w:adjustRightInd w:val="0"/>
              <w:snapToGrid w:val="0"/>
              <w:spacing w:line="440" w:lineRule="exact"/>
              <w:rPr>
                <w:rFonts w:hint="default"/>
                <w:sz w:val="24"/>
              </w:rPr>
            </w:pPr>
            <w:bookmarkStart w:id="0" w:name="_GoBack"/>
            <w:bookmarkEnd w:id="0"/>
            <w:r>
              <w:rPr>
                <w:rFonts w:hint="default"/>
                <w:sz w:val="24"/>
              </w:rPr>
              <w:t>证券代码：000881</w:t>
            </w:r>
          </w:p>
        </w:tc>
        <w:tc>
          <w:tcPr>
            <w:tcW w:w="1667" w:type="pct"/>
            <w:noWrap w:val="0"/>
            <w:vAlign w:val="top"/>
          </w:tcPr>
          <w:p w14:paraId="3F33EEA4">
            <w:pPr>
              <w:adjustRightInd w:val="0"/>
              <w:snapToGrid w:val="0"/>
              <w:spacing w:line="440" w:lineRule="exact"/>
              <w:jc w:val="center"/>
              <w:rPr>
                <w:rFonts w:hint="default"/>
                <w:sz w:val="24"/>
              </w:rPr>
            </w:pPr>
            <w:r>
              <w:rPr>
                <w:rFonts w:hint="default"/>
                <w:sz w:val="24"/>
              </w:rPr>
              <w:t>证券简称：中广核技</w:t>
            </w:r>
          </w:p>
        </w:tc>
        <w:tc>
          <w:tcPr>
            <w:tcW w:w="1667" w:type="pct"/>
            <w:noWrap w:val="0"/>
            <w:vAlign w:val="top"/>
          </w:tcPr>
          <w:p w14:paraId="06224BF8">
            <w:pPr>
              <w:adjustRightInd w:val="0"/>
              <w:snapToGrid w:val="0"/>
              <w:spacing w:line="440" w:lineRule="exact"/>
              <w:jc w:val="right"/>
              <w:rPr>
                <w:rFonts w:hint="default" w:eastAsia="宋体"/>
                <w:sz w:val="24"/>
                <w:lang w:val="en-US" w:eastAsia="zh-CN"/>
              </w:rPr>
            </w:pPr>
            <w:r>
              <w:rPr>
                <w:rFonts w:hint="default"/>
                <w:sz w:val="24"/>
              </w:rPr>
              <w:t>公告编号：</w:t>
            </w:r>
            <w:r>
              <w:rPr>
                <w:rFonts w:hint="default"/>
                <w:color w:val="auto"/>
                <w:sz w:val="24"/>
              </w:rPr>
              <w:t>202</w:t>
            </w:r>
            <w:r>
              <w:rPr>
                <w:color w:val="auto"/>
                <w:sz w:val="24"/>
              </w:rPr>
              <w:t>4</w:t>
            </w:r>
            <w:r>
              <w:rPr>
                <w:rFonts w:hint="default"/>
                <w:color w:val="auto"/>
                <w:sz w:val="24"/>
              </w:rPr>
              <w:t>-0</w:t>
            </w:r>
            <w:r>
              <w:rPr>
                <w:rFonts w:hint="eastAsia"/>
                <w:color w:val="auto"/>
                <w:sz w:val="24"/>
                <w:lang w:val="en-US" w:eastAsia="zh-CN"/>
              </w:rPr>
              <w:t>68</w:t>
            </w:r>
          </w:p>
        </w:tc>
      </w:tr>
    </w:tbl>
    <w:p w14:paraId="517532D2">
      <w:pPr>
        <w:snapToGrid w:val="0"/>
        <w:spacing w:before="156" w:beforeLines="50"/>
        <w:jc w:val="center"/>
        <w:rPr>
          <w:b/>
          <w:sz w:val="36"/>
          <w:szCs w:val="36"/>
        </w:rPr>
      </w:pPr>
      <w:r>
        <w:rPr>
          <w:b/>
          <w:sz w:val="36"/>
          <w:szCs w:val="36"/>
        </w:rPr>
        <w:t>中广核核技术发展股份有限公司</w:t>
      </w:r>
    </w:p>
    <w:p w14:paraId="347011CB">
      <w:pPr>
        <w:snapToGrid w:val="0"/>
        <w:jc w:val="center"/>
        <w:rPr>
          <w:b/>
          <w:sz w:val="36"/>
          <w:szCs w:val="36"/>
        </w:rPr>
      </w:pPr>
      <w:r>
        <w:rPr>
          <w:b/>
          <w:sz w:val="36"/>
          <w:szCs w:val="36"/>
        </w:rPr>
        <w:t>关于募集资金投资项目结项并将</w:t>
      </w:r>
      <w:r>
        <w:rPr>
          <w:rFonts w:hint="eastAsia"/>
          <w:b/>
          <w:sz w:val="36"/>
          <w:szCs w:val="36"/>
          <w:lang w:val="en-US" w:eastAsia="zh-CN"/>
        </w:rPr>
        <w:t>节</w:t>
      </w:r>
      <w:r>
        <w:rPr>
          <w:rFonts w:hint="eastAsia"/>
          <w:b/>
          <w:sz w:val="36"/>
          <w:szCs w:val="36"/>
        </w:rPr>
        <w:t>余</w:t>
      </w:r>
      <w:r>
        <w:rPr>
          <w:b/>
          <w:sz w:val="36"/>
          <w:szCs w:val="36"/>
        </w:rPr>
        <w:t>募集资金永久补充流动资金的公告</w:t>
      </w:r>
    </w:p>
    <w:p w14:paraId="15164FB0">
      <w:pPr>
        <w:snapToGrid w:val="0"/>
        <w:spacing w:before="156" w:beforeLines="50" w:line="360" w:lineRule="auto"/>
        <w:ind w:firstLine="422" w:firstLineChars="200"/>
        <w:rPr>
          <w:b/>
          <w:szCs w:val="21"/>
        </w:rPr>
      </w:pPr>
      <w:r>
        <w:rPr>
          <w:b/>
          <w:szCs w:val="21"/>
        </w:rPr>
        <w:t>本公司及董事会全体成员保证信息披露内容的真实、准确和完整，没有虚假记载、误导性陈述或重大遗漏。</w:t>
      </w:r>
    </w:p>
    <w:p w14:paraId="040CF712">
      <w:pPr>
        <w:pStyle w:val="17"/>
        <w:adjustRightInd w:val="0"/>
        <w:snapToGrid w:val="0"/>
        <w:spacing w:line="360" w:lineRule="auto"/>
        <w:ind w:firstLine="480"/>
        <w:outlineLvl w:val="0"/>
        <w:rPr>
          <w:bCs/>
          <w:sz w:val="24"/>
        </w:rPr>
      </w:pPr>
      <w:r>
        <w:rPr>
          <w:bCs/>
          <w:sz w:val="24"/>
        </w:rPr>
        <w:t>中广核核技术发展股份有限公司（以下</w:t>
      </w:r>
      <w:r>
        <w:rPr>
          <w:rFonts w:hint="eastAsia" w:ascii="宋体" w:hAnsi="宋体" w:cs="宋体"/>
          <w:bCs/>
          <w:sz w:val="24"/>
        </w:rPr>
        <w:t>简称“公司”或“本公司”</w:t>
      </w:r>
      <w:r>
        <w:rPr>
          <w:bCs/>
          <w:sz w:val="24"/>
        </w:rPr>
        <w:t>）于2024年1</w:t>
      </w:r>
      <w:r>
        <w:rPr>
          <w:rFonts w:hint="eastAsia"/>
          <w:bCs/>
          <w:sz w:val="24"/>
          <w:lang w:val="en-US" w:eastAsia="zh-CN"/>
        </w:rPr>
        <w:t>1</w:t>
      </w:r>
      <w:r>
        <w:rPr>
          <w:bCs/>
          <w:sz w:val="24"/>
        </w:rPr>
        <w:t>月</w:t>
      </w:r>
      <w:r>
        <w:rPr>
          <w:rFonts w:hint="eastAsia"/>
          <w:bCs/>
          <w:sz w:val="24"/>
          <w:lang w:val="en-US" w:eastAsia="zh-CN"/>
        </w:rPr>
        <w:t>1</w:t>
      </w:r>
      <w:r>
        <w:rPr>
          <w:rFonts w:hint="eastAsia"/>
          <w:bCs/>
          <w:sz w:val="24"/>
          <w:lang w:val="en-US" w:eastAsia="zh-CN"/>
        </w:rPr>
        <w:t>5</w:t>
      </w:r>
      <w:r>
        <w:rPr>
          <w:bCs/>
          <w:sz w:val="24"/>
        </w:rPr>
        <w:t>日召开第</w:t>
      </w:r>
      <w:r>
        <w:rPr>
          <w:rFonts w:hint="eastAsia"/>
          <w:bCs/>
          <w:sz w:val="24"/>
        </w:rPr>
        <w:t>十</w:t>
      </w:r>
      <w:r>
        <w:rPr>
          <w:bCs/>
          <w:sz w:val="24"/>
        </w:rPr>
        <w:t>届董事会第</w:t>
      </w:r>
      <w:r>
        <w:rPr>
          <w:rFonts w:hint="eastAsia"/>
          <w:bCs/>
          <w:sz w:val="24"/>
        </w:rPr>
        <w:t>二十</w:t>
      </w:r>
      <w:r>
        <w:rPr>
          <w:rFonts w:hint="eastAsia"/>
          <w:bCs/>
          <w:sz w:val="24"/>
          <w:lang w:val="en-US" w:eastAsia="zh-CN"/>
        </w:rPr>
        <w:t>一</w:t>
      </w:r>
      <w:r>
        <w:rPr>
          <w:bCs/>
          <w:sz w:val="24"/>
        </w:rPr>
        <w:t>次会议和第</w:t>
      </w:r>
      <w:r>
        <w:rPr>
          <w:rFonts w:hint="eastAsia"/>
          <w:bCs/>
          <w:sz w:val="24"/>
        </w:rPr>
        <w:t>十</w:t>
      </w:r>
      <w:r>
        <w:rPr>
          <w:bCs/>
          <w:sz w:val="24"/>
        </w:rPr>
        <w:t>届监事会第十</w:t>
      </w:r>
      <w:r>
        <w:rPr>
          <w:rFonts w:hint="eastAsia"/>
          <w:bCs/>
          <w:sz w:val="24"/>
          <w:lang w:val="en-US" w:eastAsia="zh-CN"/>
        </w:rPr>
        <w:t>二</w:t>
      </w:r>
      <w:r>
        <w:rPr>
          <w:bCs/>
          <w:sz w:val="24"/>
        </w:rPr>
        <w:t>次会议，审议通过了《</w:t>
      </w:r>
      <w:r>
        <w:rPr>
          <w:rFonts w:hint="eastAsia"/>
          <w:bCs/>
          <w:sz w:val="24"/>
        </w:rPr>
        <w:t>关于募集资金投资项目结项并将节余募集资金永久补充流动资金的议案</w:t>
      </w:r>
      <w:r>
        <w:rPr>
          <w:bCs/>
          <w:sz w:val="24"/>
        </w:rPr>
        <w:t>》</w:t>
      </w:r>
      <w:r>
        <w:rPr>
          <w:rFonts w:hint="eastAsia"/>
          <w:bCs/>
          <w:sz w:val="24"/>
        </w:rPr>
        <w:t>，因市场环境变化和现阶段经营发展需要，</w:t>
      </w:r>
      <w:r>
        <w:rPr>
          <w:bCs/>
          <w:sz w:val="24"/>
        </w:rPr>
        <w:t>募集资金投资项目</w:t>
      </w:r>
      <w:r>
        <w:rPr>
          <w:rFonts w:hint="eastAsia"/>
          <w:bCs/>
          <w:sz w:val="24"/>
        </w:rPr>
        <w:t>“</w:t>
      </w:r>
      <w:r>
        <w:rPr>
          <w:bCs/>
          <w:sz w:val="24"/>
        </w:rPr>
        <w:t>10万吨高聚物材料新建项目</w:t>
      </w:r>
      <w:r>
        <w:rPr>
          <w:rFonts w:hint="eastAsia"/>
          <w:bCs/>
          <w:sz w:val="24"/>
        </w:rPr>
        <w:t>”产能由10万吨调整为6万吨，按6万吨产能进行结项，</w:t>
      </w:r>
      <w:r>
        <w:rPr>
          <w:rFonts w:hint="eastAsia"/>
          <w:bCs/>
          <w:sz w:val="24"/>
          <w:lang w:eastAsia="zh-CN"/>
        </w:rPr>
        <w:t>剩余</w:t>
      </w:r>
      <w:r>
        <w:rPr>
          <w:rFonts w:hint="eastAsia"/>
          <w:bCs/>
          <w:sz w:val="24"/>
        </w:rPr>
        <w:t>募集资金25,220.83</w:t>
      </w:r>
      <w:r>
        <w:rPr>
          <w:rFonts w:hint="eastAsia" w:ascii="宋体" w:hAnsi="宋体" w:cs="宋体"/>
          <w:bCs/>
          <w:sz w:val="24"/>
        </w:rPr>
        <w:t>万元（以实际转出时金额为准）将</w:t>
      </w:r>
      <w:r>
        <w:rPr>
          <w:rFonts w:hint="eastAsia"/>
          <w:bCs/>
          <w:sz w:val="24"/>
        </w:rPr>
        <w:t>永久补充流动资金。具体情况公告如下：</w:t>
      </w:r>
    </w:p>
    <w:p w14:paraId="7CDE39D3">
      <w:pPr>
        <w:pStyle w:val="17"/>
        <w:adjustRightInd w:val="0"/>
        <w:snapToGrid w:val="0"/>
        <w:spacing w:line="360" w:lineRule="auto"/>
        <w:ind w:firstLine="482"/>
        <w:outlineLvl w:val="0"/>
        <w:rPr>
          <w:b/>
          <w:sz w:val="24"/>
        </w:rPr>
      </w:pPr>
      <w:r>
        <w:rPr>
          <w:b/>
          <w:sz w:val="24"/>
        </w:rPr>
        <w:t>一、募集资金基本情况</w:t>
      </w:r>
    </w:p>
    <w:p w14:paraId="390AC4CD">
      <w:pPr>
        <w:adjustRightInd w:val="0"/>
        <w:snapToGrid w:val="0"/>
        <w:spacing w:line="360" w:lineRule="auto"/>
        <w:ind w:firstLine="480" w:firstLineChars="200"/>
        <w:rPr>
          <w:sz w:val="24"/>
          <w:szCs w:val="24"/>
        </w:rPr>
      </w:pPr>
      <w:r>
        <w:rPr>
          <w:rFonts w:hint="eastAsia"/>
          <w:sz w:val="24"/>
          <w:szCs w:val="24"/>
        </w:rPr>
        <w:t>1.基本情况</w:t>
      </w:r>
    </w:p>
    <w:p w14:paraId="2B3C8F33">
      <w:pPr>
        <w:adjustRightInd w:val="0"/>
        <w:snapToGrid w:val="0"/>
        <w:spacing w:line="360" w:lineRule="auto"/>
        <w:ind w:firstLine="480" w:firstLineChars="200"/>
        <w:rPr>
          <w:sz w:val="24"/>
          <w:szCs w:val="24"/>
        </w:rPr>
      </w:pPr>
      <w:r>
        <w:rPr>
          <w:sz w:val="24"/>
          <w:szCs w:val="24"/>
        </w:rPr>
        <w:t>经中国证券监督管理委员会《关于核准中国大连国际合作（集团）股份有限公司向中广核核技术应用有限公司等发行股份购买资产并募集配套资金的批复》（证监许可[2016]2412号）核准，公司非公开发行人民币普通股（A股）267,686,421股，每股面值1元，实际发行价格每股10.46元，共募集人民币2,799,999,963.66元，扣除承销费用40,500,000.00元，以及与发行有关的费用4,364,290.60元（律师费、验资费、证券登记费等），实际募集资金人民币2,755,135,673.06元。上述资金已于2016年12月30日全部到位，并经中准会计师事务所（特殊普通合伙）予以验证，并出具了《验资报告》（中准验字[2016]1210号）。</w:t>
      </w:r>
    </w:p>
    <w:p w14:paraId="08CDE91C">
      <w:pPr>
        <w:adjustRightInd w:val="0"/>
        <w:snapToGrid w:val="0"/>
        <w:spacing w:line="360" w:lineRule="auto"/>
        <w:ind w:firstLine="480" w:firstLineChars="200"/>
        <w:rPr>
          <w:sz w:val="24"/>
          <w:szCs w:val="24"/>
        </w:rPr>
      </w:pPr>
      <w:r>
        <w:rPr>
          <w:sz w:val="24"/>
          <w:szCs w:val="24"/>
        </w:rPr>
        <w:t>根据</w:t>
      </w:r>
      <w:r>
        <w:rPr>
          <w:rFonts w:hint="eastAsia"/>
          <w:sz w:val="24"/>
          <w:szCs w:val="24"/>
        </w:rPr>
        <w:t>《中国大连国际合作（集团）股份有限公司发行股份购买资产并募集配套资金暨关联交易报告书（修订稿）》（以下简称“交易报告书”）、2019年4月27日披露的《关于调整募集资金投资项目实施方案的公告》（公告编号：2019-018）和2022年8月27日《关于调整募集资金投资项目实施方案的公告》（公告编号：2022-057），截至2024年9月30日公司本次交易募集的配套资金投资情况如下</w:t>
      </w:r>
      <w:r>
        <w:rPr>
          <w:sz w:val="24"/>
          <w:szCs w:val="24"/>
        </w:rPr>
        <w:t>：</w:t>
      </w:r>
    </w:p>
    <w:tbl>
      <w:tblPr>
        <w:tblStyle w:val="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
        <w:gridCol w:w="4554"/>
        <w:gridCol w:w="1479"/>
        <w:gridCol w:w="1580"/>
      </w:tblGrid>
      <w:tr w14:paraId="04BC1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7" w:hRule="atLeast"/>
        </w:trPr>
        <w:tc>
          <w:tcPr>
            <w:tcW w:w="532" w:type="pct"/>
            <w:shd w:val="clear" w:color="auto" w:fill="D9D9D9"/>
            <w:noWrap w:val="0"/>
            <w:vAlign w:val="center"/>
          </w:tcPr>
          <w:p w14:paraId="6485F9E1">
            <w:pPr>
              <w:widowControl/>
              <w:jc w:val="center"/>
              <w:rPr>
                <w:rFonts w:hint="default"/>
                <w:b/>
                <w:kern w:val="0"/>
                <w:sz w:val="18"/>
                <w:szCs w:val="18"/>
              </w:rPr>
            </w:pPr>
            <w:r>
              <w:rPr>
                <w:rFonts w:hint="default"/>
                <w:b/>
                <w:kern w:val="0"/>
                <w:sz w:val="18"/>
                <w:szCs w:val="18"/>
              </w:rPr>
              <w:t>项目序号</w:t>
            </w:r>
          </w:p>
        </w:tc>
        <w:tc>
          <w:tcPr>
            <w:tcW w:w="2672" w:type="pct"/>
            <w:shd w:val="clear" w:color="auto" w:fill="D9D9D9"/>
            <w:noWrap w:val="0"/>
            <w:vAlign w:val="center"/>
          </w:tcPr>
          <w:p w14:paraId="5AFECE9E">
            <w:pPr>
              <w:widowControl/>
              <w:jc w:val="center"/>
              <w:rPr>
                <w:rFonts w:hint="default"/>
                <w:b/>
                <w:kern w:val="0"/>
                <w:sz w:val="18"/>
                <w:szCs w:val="18"/>
              </w:rPr>
            </w:pPr>
            <w:r>
              <w:rPr>
                <w:rFonts w:hint="default"/>
                <w:b/>
                <w:kern w:val="0"/>
                <w:sz w:val="18"/>
                <w:szCs w:val="18"/>
              </w:rPr>
              <w:t>项目名称</w:t>
            </w:r>
          </w:p>
        </w:tc>
        <w:tc>
          <w:tcPr>
            <w:tcW w:w="868" w:type="pct"/>
            <w:shd w:val="clear" w:color="auto" w:fill="D9D9D9"/>
            <w:noWrap w:val="0"/>
            <w:vAlign w:val="center"/>
          </w:tcPr>
          <w:p w14:paraId="559CA20F">
            <w:pPr>
              <w:widowControl/>
              <w:jc w:val="center"/>
              <w:rPr>
                <w:rFonts w:hint="default"/>
                <w:b/>
                <w:kern w:val="0"/>
                <w:sz w:val="18"/>
                <w:szCs w:val="18"/>
              </w:rPr>
            </w:pPr>
            <w:r>
              <w:rPr>
                <w:rFonts w:hint="default"/>
                <w:b/>
                <w:kern w:val="0"/>
                <w:sz w:val="18"/>
                <w:szCs w:val="18"/>
              </w:rPr>
              <w:t>募集资金承诺投资总额（万元）</w:t>
            </w:r>
          </w:p>
        </w:tc>
        <w:tc>
          <w:tcPr>
            <w:tcW w:w="927" w:type="pct"/>
            <w:shd w:val="clear" w:color="auto" w:fill="D9D9D9"/>
            <w:noWrap w:val="0"/>
            <w:vAlign w:val="center"/>
          </w:tcPr>
          <w:p w14:paraId="2F297FA9">
            <w:pPr>
              <w:widowControl/>
              <w:jc w:val="center"/>
              <w:rPr>
                <w:b/>
                <w:kern w:val="0"/>
                <w:sz w:val="18"/>
                <w:szCs w:val="18"/>
              </w:rPr>
            </w:pPr>
            <w:r>
              <w:rPr>
                <w:rFonts w:ascii="宋体" w:hAnsi="宋体"/>
                <w:b/>
                <w:kern w:val="0"/>
                <w:sz w:val="18"/>
                <w:szCs w:val="18"/>
              </w:rPr>
              <w:t>调整后募集资金计划投资总额（万元）</w:t>
            </w:r>
          </w:p>
        </w:tc>
      </w:tr>
      <w:tr w14:paraId="07712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7" w:hRule="atLeast"/>
        </w:trPr>
        <w:tc>
          <w:tcPr>
            <w:tcW w:w="532" w:type="pct"/>
            <w:noWrap w:val="0"/>
            <w:vAlign w:val="center"/>
          </w:tcPr>
          <w:p w14:paraId="2D6BCB3E">
            <w:pPr>
              <w:widowControl/>
              <w:jc w:val="center"/>
              <w:rPr>
                <w:rFonts w:hint="default"/>
                <w:kern w:val="0"/>
                <w:sz w:val="18"/>
                <w:szCs w:val="18"/>
              </w:rPr>
            </w:pPr>
            <w:r>
              <w:rPr>
                <w:rFonts w:hint="default"/>
                <w:kern w:val="0"/>
                <w:sz w:val="18"/>
                <w:szCs w:val="18"/>
              </w:rPr>
              <w:t>项目一</w:t>
            </w:r>
          </w:p>
        </w:tc>
        <w:tc>
          <w:tcPr>
            <w:tcW w:w="2672" w:type="pct"/>
            <w:noWrap w:val="0"/>
            <w:vAlign w:val="center"/>
          </w:tcPr>
          <w:p w14:paraId="30C633EA">
            <w:pPr>
              <w:widowControl/>
              <w:jc w:val="left"/>
              <w:rPr>
                <w:rFonts w:hint="default"/>
                <w:kern w:val="0"/>
                <w:sz w:val="18"/>
                <w:szCs w:val="18"/>
              </w:rPr>
            </w:pPr>
            <w:r>
              <w:rPr>
                <w:rFonts w:hint="default"/>
                <w:kern w:val="0"/>
                <w:sz w:val="18"/>
                <w:szCs w:val="18"/>
              </w:rPr>
              <w:t>技术研究开发中心扩建项目</w:t>
            </w:r>
          </w:p>
        </w:tc>
        <w:tc>
          <w:tcPr>
            <w:tcW w:w="868" w:type="pct"/>
            <w:noWrap w:val="0"/>
            <w:vAlign w:val="center"/>
          </w:tcPr>
          <w:p w14:paraId="04ED659B">
            <w:pPr>
              <w:ind w:right="105" w:rightChars="50"/>
              <w:jc w:val="right"/>
              <w:rPr>
                <w:rFonts w:hint="default"/>
                <w:kern w:val="0"/>
                <w:sz w:val="18"/>
                <w:szCs w:val="18"/>
              </w:rPr>
            </w:pPr>
            <w:r>
              <w:rPr>
                <w:rFonts w:hint="default"/>
                <w:kern w:val="0"/>
                <w:sz w:val="18"/>
                <w:szCs w:val="18"/>
              </w:rPr>
              <w:t>11,032.00</w:t>
            </w:r>
          </w:p>
        </w:tc>
        <w:tc>
          <w:tcPr>
            <w:tcW w:w="927" w:type="pct"/>
            <w:noWrap w:val="0"/>
            <w:vAlign w:val="center"/>
          </w:tcPr>
          <w:p w14:paraId="0370CFEA">
            <w:pPr>
              <w:ind w:right="105" w:rightChars="50"/>
              <w:jc w:val="right"/>
              <w:rPr>
                <w:kern w:val="0"/>
                <w:sz w:val="18"/>
                <w:szCs w:val="18"/>
              </w:rPr>
            </w:pPr>
            <w:r>
              <w:rPr>
                <w:rFonts w:ascii="Times New Roman" w:hAnsi="Times New Roman"/>
                <w:kern w:val="0"/>
                <w:sz w:val="18"/>
                <w:szCs w:val="18"/>
              </w:rPr>
              <w:t>4,472.71</w:t>
            </w:r>
          </w:p>
        </w:tc>
      </w:tr>
      <w:tr w14:paraId="57704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7" w:hRule="atLeast"/>
        </w:trPr>
        <w:tc>
          <w:tcPr>
            <w:tcW w:w="532" w:type="pct"/>
            <w:noWrap w:val="0"/>
            <w:vAlign w:val="center"/>
          </w:tcPr>
          <w:p w14:paraId="2FFE122F">
            <w:pPr>
              <w:widowControl/>
              <w:jc w:val="center"/>
              <w:rPr>
                <w:rFonts w:hint="default"/>
                <w:kern w:val="0"/>
                <w:sz w:val="18"/>
                <w:szCs w:val="18"/>
              </w:rPr>
            </w:pPr>
            <w:r>
              <w:rPr>
                <w:rFonts w:hint="default"/>
                <w:kern w:val="0"/>
                <w:sz w:val="18"/>
                <w:szCs w:val="18"/>
              </w:rPr>
              <w:t>项目二</w:t>
            </w:r>
          </w:p>
        </w:tc>
        <w:tc>
          <w:tcPr>
            <w:tcW w:w="2672" w:type="pct"/>
            <w:noWrap w:val="0"/>
            <w:vAlign w:val="center"/>
          </w:tcPr>
          <w:p w14:paraId="4CC76794">
            <w:pPr>
              <w:widowControl/>
              <w:jc w:val="left"/>
              <w:rPr>
                <w:rFonts w:hint="default"/>
                <w:kern w:val="0"/>
                <w:sz w:val="18"/>
                <w:szCs w:val="18"/>
              </w:rPr>
            </w:pPr>
            <w:r>
              <w:rPr>
                <w:rFonts w:hint="default"/>
                <w:kern w:val="0"/>
                <w:sz w:val="18"/>
                <w:szCs w:val="18"/>
              </w:rPr>
              <w:t>年产2.4万吨长玻纤增强聚丙烯车用结构材料（LFT）生产建设项目</w:t>
            </w:r>
          </w:p>
        </w:tc>
        <w:tc>
          <w:tcPr>
            <w:tcW w:w="868" w:type="pct"/>
            <w:noWrap w:val="0"/>
            <w:vAlign w:val="center"/>
          </w:tcPr>
          <w:p w14:paraId="70D24A8B">
            <w:pPr>
              <w:ind w:right="105" w:rightChars="50"/>
              <w:jc w:val="right"/>
              <w:rPr>
                <w:rFonts w:hint="default"/>
                <w:kern w:val="0"/>
                <w:sz w:val="18"/>
                <w:szCs w:val="18"/>
              </w:rPr>
            </w:pPr>
            <w:r>
              <w:rPr>
                <w:rFonts w:hint="default"/>
                <w:kern w:val="0"/>
                <w:sz w:val="18"/>
                <w:szCs w:val="18"/>
              </w:rPr>
              <w:t>16,128.00</w:t>
            </w:r>
          </w:p>
        </w:tc>
        <w:tc>
          <w:tcPr>
            <w:tcW w:w="927" w:type="pct"/>
            <w:noWrap w:val="0"/>
            <w:vAlign w:val="center"/>
          </w:tcPr>
          <w:p w14:paraId="51B4A099">
            <w:pPr>
              <w:ind w:right="105" w:rightChars="50"/>
              <w:jc w:val="right"/>
              <w:rPr>
                <w:kern w:val="0"/>
                <w:sz w:val="18"/>
                <w:szCs w:val="18"/>
              </w:rPr>
            </w:pPr>
            <w:r>
              <w:rPr>
                <w:rFonts w:ascii="Times New Roman" w:hAnsi="Times New Roman"/>
                <w:kern w:val="0"/>
                <w:sz w:val="18"/>
                <w:szCs w:val="18"/>
              </w:rPr>
              <w:t>11,001.22</w:t>
            </w:r>
          </w:p>
        </w:tc>
      </w:tr>
      <w:tr w14:paraId="097D4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7" w:hRule="atLeast"/>
        </w:trPr>
        <w:tc>
          <w:tcPr>
            <w:tcW w:w="532" w:type="pct"/>
            <w:noWrap w:val="0"/>
            <w:vAlign w:val="center"/>
          </w:tcPr>
          <w:p w14:paraId="43827424">
            <w:pPr>
              <w:widowControl/>
              <w:jc w:val="center"/>
              <w:rPr>
                <w:rFonts w:hint="default"/>
                <w:kern w:val="0"/>
                <w:sz w:val="18"/>
                <w:szCs w:val="18"/>
              </w:rPr>
            </w:pPr>
            <w:r>
              <w:rPr>
                <w:rFonts w:hint="default"/>
                <w:kern w:val="0"/>
                <w:sz w:val="18"/>
                <w:szCs w:val="18"/>
              </w:rPr>
              <w:t>项目三</w:t>
            </w:r>
          </w:p>
        </w:tc>
        <w:tc>
          <w:tcPr>
            <w:tcW w:w="2672" w:type="pct"/>
            <w:noWrap w:val="0"/>
            <w:vAlign w:val="center"/>
          </w:tcPr>
          <w:p w14:paraId="783C642A">
            <w:pPr>
              <w:widowControl/>
              <w:jc w:val="left"/>
              <w:rPr>
                <w:rFonts w:hint="default"/>
                <w:kern w:val="0"/>
                <w:sz w:val="18"/>
                <w:szCs w:val="18"/>
              </w:rPr>
            </w:pPr>
            <w:r>
              <w:rPr>
                <w:rFonts w:hint="default"/>
                <w:kern w:val="0"/>
                <w:sz w:val="18"/>
                <w:szCs w:val="18"/>
              </w:rPr>
              <w:t>年产6.6万吨高性能改性尼龙（PA）生产建设项目</w:t>
            </w:r>
          </w:p>
        </w:tc>
        <w:tc>
          <w:tcPr>
            <w:tcW w:w="868" w:type="pct"/>
            <w:noWrap w:val="0"/>
            <w:vAlign w:val="center"/>
          </w:tcPr>
          <w:p w14:paraId="1113F180">
            <w:pPr>
              <w:ind w:right="105" w:rightChars="50"/>
              <w:jc w:val="right"/>
              <w:rPr>
                <w:rFonts w:hint="default"/>
                <w:kern w:val="0"/>
                <w:sz w:val="18"/>
                <w:szCs w:val="18"/>
              </w:rPr>
            </w:pPr>
            <w:r>
              <w:rPr>
                <w:rFonts w:hint="default"/>
                <w:kern w:val="0"/>
                <w:sz w:val="18"/>
                <w:szCs w:val="18"/>
              </w:rPr>
              <w:t>36,860.00</w:t>
            </w:r>
          </w:p>
        </w:tc>
        <w:tc>
          <w:tcPr>
            <w:tcW w:w="927" w:type="pct"/>
            <w:noWrap w:val="0"/>
            <w:vAlign w:val="center"/>
          </w:tcPr>
          <w:p w14:paraId="01DC3984">
            <w:pPr>
              <w:ind w:right="105" w:rightChars="50"/>
              <w:jc w:val="right"/>
              <w:rPr>
                <w:kern w:val="0"/>
                <w:sz w:val="18"/>
                <w:szCs w:val="18"/>
              </w:rPr>
            </w:pPr>
            <w:r>
              <w:rPr>
                <w:rFonts w:ascii="Times New Roman" w:hAnsi="Times New Roman"/>
                <w:kern w:val="0"/>
                <w:sz w:val="18"/>
                <w:szCs w:val="18"/>
              </w:rPr>
              <w:t>18,419.67</w:t>
            </w:r>
          </w:p>
        </w:tc>
      </w:tr>
      <w:tr w14:paraId="46661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7" w:hRule="atLeast"/>
        </w:trPr>
        <w:tc>
          <w:tcPr>
            <w:tcW w:w="532" w:type="pct"/>
            <w:noWrap w:val="0"/>
            <w:vAlign w:val="center"/>
          </w:tcPr>
          <w:p w14:paraId="3818D30B">
            <w:pPr>
              <w:widowControl/>
              <w:jc w:val="center"/>
              <w:rPr>
                <w:rFonts w:hint="default"/>
                <w:kern w:val="0"/>
                <w:sz w:val="18"/>
                <w:szCs w:val="18"/>
              </w:rPr>
            </w:pPr>
            <w:r>
              <w:rPr>
                <w:rFonts w:hint="default"/>
                <w:kern w:val="0"/>
                <w:sz w:val="18"/>
                <w:szCs w:val="18"/>
              </w:rPr>
              <w:t>项目四</w:t>
            </w:r>
          </w:p>
        </w:tc>
        <w:tc>
          <w:tcPr>
            <w:tcW w:w="2672" w:type="pct"/>
            <w:noWrap w:val="0"/>
            <w:vAlign w:val="center"/>
          </w:tcPr>
          <w:p w14:paraId="280F00B9">
            <w:pPr>
              <w:widowControl/>
              <w:jc w:val="left"/>
              <w:rPr>
                <w:rFonts w:hint="default"/>
                <w:kern w:val="0"/>
                <w:sz w:val="18"/>
                <w:szCs w:val="18"/>
              </w:rPr>
            </w:pPr>
            <w:r>
              <w:rPr>
                <w:rFonts w:hint="default"/>
                <w:kern w:val="0"/>
                <w:sz w:val="18"/>
                <w:szCs w:val="18"/>
              </w:rPr>
              <w:t>年产3万吨高性能改性聚碳酸脂（PC）生产建设项目</w:t>
            </w:r>
          </w:p>
        </w:tc>
        <w:tc>
          <w:tcPr>
            <w:tcW w:w="868" w:type="pct"/>
            <w:noWrap w:val="0"/>
            <w:vAlign w:val="center"/>
          </w:tcPr>
          <w:p w14:paraId="2C40291C">
            <w:pPr>
              <w:ind w:right="105" w:rightChars="50"/>
              <w:jc w:val="right"/>
              <w:rPr>
                <w:rFonts w:hint="default"/>
                <w:kern w:val="0"/>
                <w:sz w:val="18"/>
                <w:szCs w:val="18"/>
              </w:rPr>
            </w:pPr>
            <w:r>
              <w:rPr>
                <w:rFonts w:hint="default"/>
                <w:kern w:val="0"/>
                <w:sz w:val="18"/>
                <w:szCs w:val="18"/>
              </w:rPr>
              <w:t>16,414.00</w:t>
            </w:r>
          </w:p>
        </w:tc>
        <w:tc>
          <w:tcPr>
            <w:tcW w:w="927" w:type="pct"/>
            <w:noWrap w:val="0"/>
            <w:vAlign w:val="center"/>
          </w:tcPr>
          <w:p w14:paraId="62A25A20">
            <w:pPr>
              <w:ind w:right="105" w:rightChars="50"/>
              <w:jc w:val="right"/>
              <w:rPr>
                <w:kern w:val="0"/>
                <w:sz w:val="18"/>
                <w:szCs w:val="18"/>
              </w:rPr>
            </w:pPr>
            <w:r>
              <w:rPr>
                <w:rFonts w:ascii="Times New Roman" w:hAnsi="Times New Roman"/>
                <w:kern w:val="0"/>
                <w:sz w:val="18"/>
                <w:szCs w:val="18"/>
              </w:rPr>
              <w:t>7,848.76</w:t>
            </w:r>
          </w:p>
        </w:tc>
      </w:tr>
      <w:tr w14:paraId="0FDBE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7" w:hRule="atLeast"/>
        </w:trPr>
        <w:tc>
          <w:tcPr>
            <w:tcW w:w="532" w:type="pct"/>
            <w:noWrap w:val="0"/>
            <w:vAlign w:val="center"/>
          </w:tcPr>
          <w:p w14:paraId="25D0C99F">
            <w:pPr>
              <w:widowControl/>
              <w:jc w:val="center"/>
              <w:rPr>
                <w:rFonts w:hint="default"/>
                <w:kern w:val="0"/>
                <w:sz w:val="18"/>
                <w:szCs w:val="18"/>
              </w:rPr>
            </w:pPr>
            <w:r>
              <w:rPr>
                <w:rFonts w:hint="default"/>
                <w:kern w:val="0"/>
                <w:sz w:val="18"/>
                <w:szCs w:val="18"/>
              </w:rPr>
              <w:t>项目五</w:t>
            </w:r>
          </w:p>
        </w:tc>
        <w:tc>
          <w:tcPr>
            <w:tcW w:w="2672" w:type="pct"/>
            <w:noWrap w:val="0"/>
            <w:vAlign w:val="center"/>
          </w:tcPr>
          <w:p w14:paraId="70E2A51F">
            <w:pPr>
              <w:widowControl/>
              <w:jc w:val="left"/>
              <w:rPr>
                <w:rFonts w:hint="default"/>
                <w:kern w:val="0"/>
                <w:sz w:val="18"/>
                <w:szCs w:val="18"/>
              </w:rPr>
            </w:pPr>
            <w:r>
              <w:rPr>
                <w:rFonts w:hint="default"/>
                <w:kern w:val="0"/>
                <w:sz w:val="18"/>
                <w:szCs w:val="18"/>
              </w:rPr>
              <w:t>13.485万吨高聚物材料新建项目</w:t>
            </w:r>
          </w:p>
        </w:tc>
        <w:tc>
          <w:tcPr>
            <w:tcW w:w="868" w:type="pct"/>
            <w:noWrap w:val="0"/>
            <w:vAlign w:val="center"/>
          </w:tcPr>
          <w:p w14:paraId="325FA1FC">
            <w:pPr>
              <w:ind w:right="105" w:rightChars="50"/>
              <w:jc w:val="right"/>
              <w:rPr>
                <w:rFonts w:hint="default"/>
                <w:kern w:val="0"/>
                <w:sz w:val="18"/>
                <w:szCs w:val="18"/>
              </w:rPr>
            </w:pPr>
            <w:r>
              <w:rPr>
                <w:rFonts w:hint="default"/>
                <w:kern w:val="0"/>
                <w:sz w:val="18"/>
                <w:szCs w:val="18"/>
              </w:rPr>
              <w:t>53,076.70</w:t>
            </w:r>
          </w:p>
        </w:tc>
        <w:tc>
          <w:tcPr>
            <w:tcW w:w="927" w:type="pct"/>
            <w:noWrap w:val="0"/>
            <w:vAlign w:val="center"/>
          </w:tcPr>
          <w:p w14:paraId="1E006AC2">
            <w:pPr>
              <w:ind w:right="105" w:rightChars="50"/>
              <w:jc w:val="right"/>
              <w:rPr>
                <w:kern w:val="0"/>
                <w:sz w:val="18"/>
                <w:szCs w:val="18"/>
              </w:rPr>
            </w:pPr>
            <w:r>
              <w:rPr>
                <w:rFonts w:ascii="Times New Roman" w:hAnsi="Times New Roman"/>
                <w:kern w:val="0"/>
                <w:sz w:val="18"/>
                <w:szCs w:val="18"/>
              </w:rPr>
              <w:t>34,165.17</w:t>
            </w:r>
          </w:p>
        </w:tc>
      </w:tr>
      <w:tr w14:paraId="0DDE3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7" w:hRule="atLeast"/>
        </w:trPr>
        <w:tc>
          <w:tcPr>
            <w:tcW w:w="532" w:type="pct"/>
            <w:noWrap w:val="0"/>
            <w:vAlign w:val="center"/>
          </w:tcPr>
          <w:p w14:paraId="65F7264A">
            <w:pPr>
              <w:widowControl/>
              <w:jc w:val="center"/>
              <w:rPr>
                <w:rFonts w:hint="default"/>
                <w:b/>
                <w:bCs/>
                <w:kern w:val="0"/>
                <w:sz w:val="18"/>
                <w:szCs w:val="18"/>
              </w:rPr>
            </w:pPr>
            <w:r>
              <w:rPr>
                <w:rFonts w:hint="default"/>
                <w:b/>
                <w:bCs/>
                <w:kern w:val="0"/>
                <w:sz w:val="18"/>
                <w:szCs w:val="18"/>
              </w:rPr>
              <w:t>项目六</w:t>
            </w:r>
          </w:p>
        </w:tc>
        <w:tc>
          <w:tcPr>
            <w:tcW w:w="2672" w:type="pct"/>
            <w:noWrap w:val="0"/>
            <w:vAlign w:val="center"/>
          </w:tcPr>
          <w:p w14:paraId="21CE7785">
            <w:pPr>
              <w:widowControl/>
              <w:jc w:val="left"/>
              <w:rPr>
                <w:rFonts w:hint="default"/>
                <w:b/>
                <w:bCs/>
                <w:kern w:val="0"/>
                <w:sz w:val="18"/>
                <w:szCs w:val="18"/>
              </w:rPr>
            </w:pPr>
            <w:r>
              <w:rPr>
                <w:rFonts w:hint="default"/>
                <w:b/>
                <w:bCs/>
                <w:kern w:val="0"/>
                <w:sz w:val="18"/>
                <w:szCs w:val="18"/>
              </w:rPr>
              <w:t>10万吨高聚物材料新建项目</w:t>
            </w:r>
          </w:p>
        </w:tc>
        <w:tc>
          <w:tcPr>
            <w:tcW w:w="868" w:type="pct"/>
            <w:noWrap w:val="0"/>
            <w:vAlign w:val="center"/>
          </w:tcPr>
          <w:p w14:paraId="093A901D">
            <w:pPr>
              <w:ind w:right="105" w:rightChars="50"/>
              <w:jc w:val="right"/>
              <w:rPr>
                <w:rFonts w:hint="default"/>
                <w:b/>
                <w:bCs/>
                <w:kern w:val="0"/>
                <w:sz w:val="18"/>
                <w:szCs w:val="18"/>
              </w:rPr>
            </w:pPr>
            <w:r>
              <w:rPr>
                <w:rFonts w:hint="default"/>
                <w:b/>
                <w:bCs/>
                <w:kern w:val="0"/>
                <w:sz w:val="18"/>
                <w:szCs w:val="18"/>
              </w:rPr>
              <w:t>37,142.60</w:t>
            </w:r>
          </w:p>
        </w:tc>
        <w:tc>
          <w:tcPr>
            <w:tcW w:w="927" w:type="pct"/>
            <w:noWrap w:val="0"/>
            <w:vAlign w:val="center"/>
          </w:tcPr>
          <w:p w14:paraId="4D8BFCE6">
            <w:pPr>
              <w:ind w:right="105" w:rightChars="50"/>
              <w:jc w:val="right"/>
              <w:rPr>
                <w:b w:val="0"/>
                <w:bCs w:val="0"/>
                <w:kern w:val="0"/>
                <w:sz w:val="18"/>
                <w:szCs w:val="18"/>
              </w:rPr>
            </w:pPr>
            <w:r>
              <w:rPr>
                <w:rFonts w:ascii="Times New Roman" w:hAnsi="Times New Roman"/>
                <w:kern w:val="0"/>
                <w:sz w:val="18"/>
                <w:szCs w:val="18"/>
              </w:rPr>
              <w:t>36,944.36</w:t>
            </w:r>
          </w:p>
        </w:tc>
      </w:tr>
      <w:tr w14:paraId="0FABB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7" w:hRule="atLeast"/>
        </w:trPr>
        <w:tc>
          <w:tcPr>
            <w:tcW w:w="532" w:type="pct"/>
            <w:noWrap w:val="0"/>
            <w:vAlign w:val="center"/>
          </w:tcPr>
          <w:p w14:paraId="19A6FAC4">
            <w:pPr>
              <w:widowControl/>
              <w:jc w:val="center"/>
              <w:rPr>
                <w:rFonts w:hint="default"/>
                <w:kern w:val="0"/>
                <w:sz w:val="18"/>
                <w:szCs w:val="18"/>
              </w:rPr>
            </w:pPr>
            <w:r>
              <w:rPr>
                <w:rFonts w:hint="default"/>
                <w:kern w:val="0"/>
                <w:sz w:val="18"/>
                <w:szCs w:val="18"/>
              </w:rPr>
              <w:t>项目七</w:t>
            </w:r>
          </w:p>
        </w:tc>
        <w:tc>
          <w:tcPr>
            <w:tcW w:w="2672" w:type="pct"/>
            <w:noWrap w:val="0"/>
            <w:vAlign w:val="center"/>
          </w:tcPr>
          <w:p w14:paraId="1972FE7E">
            <w:pPr>
              <w:widowControl/>
              <w:jc w:val="left"/>
              <w:rPr>
                <w:rFonts w:hint="default"/>
                <w:kern w:val="0"/>
                <w:sz w:val="18"/>
                <w:szCs w:val="18"/>
              </w:rPr>
            </w:pPr>
            <w:r>
              <w:rPr>
                <w:rFonts w:hint="default"/>
                <w:kern w:val="0"/>
                <w:sz w:val="18"/>
                <w:szCs w:val="18"/>
              </w:rPr>
              <w:t>18万吨高聚物材料新建项目</w:t>
            </w:r>
          </w:p>
        </w:tc>
        <w:tc>
          <w:tcPr>
            <w:tcW w:w="868" w:type="pct"/>
            <w:noWrap w:val="0"/>
            <w:vAlign w:val="center"/>
          </w:tcPr>
          <w:p w14:paraId="293DE574">
            <w:pPr>
              <w:ind w:right="105" w:rightChars="50"/>
              <w:jc w:val="right"/>
              <w:rPr>
                <w:rFonts w:hint="default"/>
                <w:kern w:val="0"/>
                <w:sz w:val="18"/>
                <w:szCs w:val="18"/>
              </w:rPr>
            </w:pPr>
            <w:r>
              <w:rPr>
                <w:rFonts w:hint="default"/>
                <w:kern w:val="0"/>
                <w:sz w:val="18"/>
                <w:szCs w:val="18"/>
              </w:rPr>
              <w:t>68,248.40</w:t>
            </w:r>
          </w:p>
        </w:tc>
        <w:tc>
          <w:tcPr>
            <w:tcW w:w="927" w:type="pct"/>
            <w:noWrap w:val="0"/>
            <w:vAlign w:val="center"/>
          </w:tcPr>
          <w:p w14:paraId="287FBB06">
            <w:pPr>
              <w:ind w:right="105" w:rightChars="50"/>
              <w:jc w:val="right"/>
              <w:rPr>
                <w:kern w:val="0"/>
                <w:sz w:val="18"/>
                <w:szCs w:val="18"/>
              </w:rPr>
            </w:pPr>
            <w:r>
              <w:rPr>
                <w:rFonts w:ascii="Times New Roman" w:hAnsi="Times New Roman"/>
                <w:kern w:val="0"/>
                <w:sz w:val="18"/>
                <w:szCs w:val="18"/>
              </w:rPr>
              <w:t>39,052.25</w:t>
            </w:r>
          </w:p>
        </w:tc>
      </w:tr>
      <w:tr w14:paraId="0C714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7" w:hRule="atLeast"/>
        </w:trPr>
        <w:tc>
          <w:tcPr>
            <w:tcW w:w="532" w:type="pct"/>
            <w:noWrap w:val="0"/>
            <w:vAlign w:val="center"/>
          </w:tcPr>
          <w:p w14:paraId="34B860FA">
            <w:pPr>
              <w:widowControl/>
              <w:jc w:val="center"/>
              <w:rPr>
                <w:rFonts w:hint="default"/>
                <w:kern w:val="0"/>
                <w:sz w:val="18"/>
                <w:szCs w:val="18"/>
              </w:rPr>
            </w:pPr>
          </w:p>
        </w:tc>
        <w:tc>
          <w:tcPr>
            <w:tcW w:w="2672" w:type="pct"/>
            <w:noWrap w:val="0"/>
            <w:vAlign w:val="center"/>
          </w:tcPr>
          <w:p w14:paraId="36D059CE">
            <w:pPr>
              <w:widowControl/>
              <w:rPr>
                <w:rFonts w:hint="default"/>
                <w:kern w:val="0"/>
                <w:sz w:val="18"/>
                <w:szCs w:val="18"/>
              </w:rPr>
            </w:pPr>
            <w:r>
              <w:rPr>
                <w:rFonts w:hint="default"/>
                <w:kern w:val="0"/>
                <w:sz w:val="18"/>
                <w:szCs w:val="18"/>
              </w:rPr>
              <w:t>补充标的公司流动资金</w:t>
            </w:r>
          </w:p>
        </w:tc>
        <w:tc>
          <w:tcPr>
            <w:tcW w:w="868" w:type="pct"/>
            <w:noWrap w:val="0"/>
            <w:vAlign w:val="center"/>
          </w:tcPr>
          <w:p w14:paraId="3C709F25">
            <w:pPr>
              <w:ind w:right="105" w:rightChars="50"/>
              <w:jc w:val="right"/>
              <w:rPr>
                <w:rFonts w:hint="default"/>
                <w:kern w:val="0"/>
                <w:sz w:val="18"/>
                <w:szCs w:val="18"/>
              </w:rPr>
            </w:pPr>
            <w:r>
              <w:rPr>
                <w:kern w:val="0"/>
                <w:sz w:val="18"/>
                <w:szCs w:val="18"/>
              </w:rPr>
              <w:t>不超过41,098.30</w:t>
            </w:r>
          </w:p>
        </w:tc>
        <w:tc>
          <w:tcPr>
            <w:tcW w:w="927" w:type="pct"/>
            <w:noWrap w:val="0"/>
            <w:vAlign w:val="center"/>
          </w:tcPr>
          <w:p w14:paraId="094B4F37">
            <w:pPr>
              <w:ind w:right="105" w:rightChars="50"/>
              <w:jc w:val="right"/>
              <w:rPr>
                <w:kern w:val="0"/>
                <w:sz w:val="18"/>
                <w:szCs w:val="18"/>
              </w:rPr>
            </w:pPr>
            <w:r>
              <w:rPr>
                <w:rFonts w:ascii="Times New Roman" w:hAnsi="Times New Roman"/>
                <w:kern w:val="0"/>
                <w:sz w:val="18"/>
                <w:szCs w:val="18"/>
              </w:rPr>
              <w:t>36,611.87</w:t>
            </w:r>
          </w:p>
        </w:tc>
      </w:tr>
      <w:tr w14:paraId="0E848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7" w:hRule="atLeast"/>
        </w:trPr>
        <w:tc>
          <w:tcPr>
            <w:tcW w:w="3204" w:type="pct"/>
            <w:gridSpan w:val="2"/>
            <w:shd w:val="clear" w:color="auto" w:fill="D7D7D7"/>
            <w:noWrap w:val="0"/>
            <w:vAlign w:val="center"/>
          </w:tcPr>
          <w:p w14:paraId="144C1E57">
            <w:pPr>
              <w:widowControl/>
              <w:jc w:val="center"/>
              <w:rPr>
                <w:rFonts w:hint="default"/>
                <w:b/>
                <w:kern w:val="0"/>
                <w:sz w:val="18"/>
                <w:szCs w:val="18"/>
              </w:rPr>
            </w:pPr>
            <w:r>
              <w:rPr>
                <w:rFonts w:hint="default"/>
                <w:b/>
                <w:kern w:val="0"/>
                <w:sz w:val="18"/>
                <w:szCs w:val="18"/>
              </w:rPr>
              <w:t>合计</w:t>
            </w:r>
          </w:p>
        </w:tc>
        <w:tc>
          <w:tcPr>
            <w:tcW w:w="868" w:type="pct"/>
            <w:noWrap w:val="0"/>
            <w:vAlign w:val="center"/>
          </w:tcPr>
          <w:p w14:paraId="389322F5">
            <w:pPr>
              <w:widowControl/>
              <w:ind w:right="105" w:rightChars="50"/>
              <w:jc w:val="right"/>
              <w:rPr>
                <w:rFonts w:hint="default"/>
                <w:b/>
                <w:kern w:val="0"/>
                <w:sz w:val="18"/>
                <w:szCs w:val="18"/>
              </w:rPr>
            </w:pPr>
            <w:r>
              <w:rPr>
                <w:b/>
                <w:kern w:val="0"/>
                <w:sz w:val="18"/>
                <w:szCs w:val="18"/>
              </w:rPr>
              <w:t>不超过280,000.00</w:t>
            </w:r>
          </w:p>
        </w:tc>
        <w:tc>
          <w:tcPr>
            <w:tcW w:w="927" w:type="pct"/>
            <w:noWrap w:val="0"/>
            <w:vAlign w:val="center"/>
          </w:tcPr>
          <w:p w14:paraId="1283C37D">
            <w:pPr>
              <w:widowControl w:val="0"/>
              <w:ind w:right="105" w:rightChars="50"/>
              <w:jc w:val="right"/>
              <w:rPr>
                <w:rFonts w:hint="eastAsia" w:eastAsia="宋体"/>
                <w:b w:val="0"/>
                <w:kern w:val="0"/>
                <w:sz w:val="18"/>
                <w:szCs w:val="18"/>
                <w:lang w:val="en-US" w:eastAsia="zh-CN"/>
              </w:rPr>
            </w:pPr>
            <w:r>
              <w:rPr>
                <w:rFonts w:ascii="Times New Roman" w:hAnsi="Times New Roman"/>
                <w:kern w:val="0"/>
                <w:sz w:val="18"/>
                <w:szCs w:val="18"/>
              </w:rPr>
              <w:t>188,516.0</w:t>
            </w:r>
            <w:r>
              <w:rPr>
                <w:rFonts w:hint="eastAsia" w:ascii="Times New Roman" w:hAnsi="Times New Roman"/>
                <w:kern w:val="0"/>
                <w:sz w:val="18"/>
                <w:szCs w:val="18"/>
                <w:lang w:val="en-US" w:eastAsia="zh-CN"/>
              </w:rPr>
              <w:t>1</w:t>
            </w:r>
          </w:p>
        </w:tc>
      </w:tr>
    </w:tbl>
    <w:p w14:paraId="6512D12C">
      <w:pPr>
        <w:adjustRightInd w:val="0"/>
        <w:snapToGrid w:val="0"/>
        <w:spacing w:line="360" w:lineRule="auto"/>
        <w:ind w:firstLine="360" w:firstLineChars="200"/>
        <w:outlineLvl w:val="1"/>
        <w:rPr>
          <w:rFonts w:hint="eastAsia" w:eastAsia="Times New Roman"/>
          <w:color w:val="000000"/>
          <w:sz w:val="18"/>
          <w:szCs w:val="18"/>
        </w:rPr>
      </w:pPr>
      <w:r>
        <w:rPr>
          <w:rFonts w:hint="eastAsia" w:ascii="宋体" w:hAnsi="宋体" w:cs="宋体"/>
          <w:color w:val="000000"/>
          <w:sz w:val="18"/>
          <w:szCs w:val="18"/>
        </w:rPr>
        <w:t>注</w:t>
      </w:r>
      <w:r>
        <w:rPr>
          <w:rFonts w:hint="eastAsia" w:eastAsia="Times New Roman"/>
          <w:color w:val="000000"/>
          <w:sz w:val="18"/>
          <w:szCs w:val="18"/>
        </w:rPr>
        <w:t>1</w:t>
      </w:r>
      <w:r>
        <w:rPr>
          <w:rFonts w:hint="eastAsia" w:ascii="宋体" w:hAnsi="宋体" w:cs="宋体"/>
          <w:color w:val="000000"/>
          <w:sz w:val="18"/>
          <w:szCs w:val="18"/>
        </w:rPr>
        <w:t>：募集资金承诺投资总额为《中国大连国际合作（集团）股份有限公司发行股份购买资产并募集配套资金暨关联交易报告书（修订稿）》中披露的募集资金承诺投资总额。</w:t>
      </w:r>
    </w:p>
    <w:p w14:paraId="1652F731">
      <w:pPr>
        <w:adjustRightInd w:val="0"/>
        <w:snapToGrid w:val="0"/>
        <w:spacing w:line="360" w:lineRule="auto"/>
        <w:ind w:firstLine="360" w:firstLineChars="200"/>
        <w:outlineLvl w:val="1"/>
        <w:rPr>
          <w:rFonts w:hint="eastAsia" w:eastAsia="Times New Roman"/>
          <w:color w:val="000000"/>
          <w:sz w:val="18"/>
          <w:szCs w:val="18"/>
        </w:rPr>
      </w:pPr>
      <w:r>
        <w:rPr>
          <w:rFonts w:hint="eastAsia" w:ascii="宋体" w:hAnsi="宋体" w:cs="宋体"/>
          <w:color w:val="000000"/>
          <w:sz w:val="18"/>
          <w:szCs w:val="18"/>
        </w:rPr>
        <w:t>注</w:t>
      </w:r>
      <w:r>
        <w:rPr>
          <w:rFonts w:hint="eastAsia" w:eastAsia="Times New Roman"/>
          <w:color w:val="000000"/>
          <w:sz w:val="18"/>
          <w:szCs w:val="18"/>
        </w:rPr>
        <w:t>2</w:t>
      </w:r>
      <w:r>
        <w:rPr>
          <w:rFonts w:hint="eastAsia" w:ascii="宋体" w:hAnsi="宋体" w:cs="宋体"/>
          <w:color w:val="000000"/>
          <w:sz w:val="18"/>
          <w:szCs w:val="18"/>
        </w:rPr>
        <w:t>：调整后募集资金承诺投资总额为经过</w:t>
      </w:r>
      <w:r>
        <w:rPr>
          <w:rFonts w:hint="eastAsia" w:eastAsia="Times New Roman"/>
          <w:color w:val="000000"/>
          <w:sz w:val="18"/>
          <w:szCs w:val="18"/>
        </w:rPr>
        <w:t>2019</w:t>
      </w:r>
      <w:r>
        <w:rPr>
          <w:rFonts w:hint="eastAsia" w:ascii="宋体" w:hAnsi="宋体" w:cs="宋体"/>
          <w:color w:val="000000"/>
          <w:sz w:val="18"/>
          <w:szCs w:val="18"/>
        </w:rPr>
        <w:t>年</w:t>
      </w:r>
      <w:r>
        <w:rPr>
          <w:rFonts w:hint="eastAsia" w:eastAsia="Times New Roman"/>
          <w:color w:val="000000"/>
          <w:sz w:val="18"/>
          <w:szCs w:val="18"/>
        </w:rPr>
        <w:t>4</w:t>
      </w:r>
      <w:r>
        <w:rPr>
          <w:rFonts w:hint="eastAsia" w:ascii="宋体" w:hAnsi="宋体" w:cs="宋体"/>
          <w:color w:val="000000"/>
          <w:sz w:val="18"/>
          <w:szCs w:val="18"/>
        </w:rPr>
        <w:t>月、</w:t>
      </w:r>
      <w:r>
        <w:rPr>
          <w:rFonts w:hint="eastAsia" w:eastAsia="Times New Roman"/>
          <w:color w:val="000000"/>
          <w:sz w:val="18"/>
          <w:szCs w:val="18"/>
        </w:rPr>
        <w:t>2022</w:t>
      </w:r>
      <w:r>
        <w:rPr>
          <w:rFonts w:hint="eastAsia" w:ascii="宋体" w:hAnsi="宋体" w:cs="宋体"/>
          <w:color w:val="000000"/>
          <w:sz w:val="18"/>
          <w:szCs w:val="18"/>
        </w:rPr>
        <w:t>年</w:t>
      </w:r>
      <w:r>
        <w:rPr>
          <w:rFonts w:hint="eastAsia" w:eastAsia="Times New Roman"/>
          <w:color w:val="000000"/>
          <w:sz w:val="18"/>
          <w:szCs w:val="18"/>
        </w:rPr>
        <w:t>8</w:t>
      </w:r>
      <w:r>
        <w:rPr>
          <w:rFonts w:hint="eastAsia" w:ascii="宋体" w:hAnsi="宋体" w:cs="宋体"/>
          <w:color w:val="000000"/>
          <w:sz w:val="18"/>
          <w:szCs w:val="18"/>
        </w:rPr>
        <w:t>月调整后的承诺募集资金投资总额。</w:t>
      </w:r>
    </w:p>
    <w:p w14:paraId="2C3F0D9D">
      <w:pPr>
        <w:adjustRightInd w:val="0"/>
        <w:snapToGrid w:val="0"/>
        <w:spacing w:line="360" w:lineRule="auto"/>
        <w:ind w:firstLine="360" w:firstLineChars="200"/>
        <w:jc w:val="left"/>
        <w:outlineLvl w:val="1"/>
        <w:rPr>
          <w:rFonts w:eastAsia="Times New Roman"/>
          <w:color w:val="000000"/>
          <w:sz w:val="18"/>
          <w:szCs w:val="18"/>
        </w:rPr>
      </w:pPr>
      <w:r>
        <w:rPr>
          <w:rFonts w:hint="eastAsia" w:ascii="宋体" w:hAnsi="宋体" w:cs="宋体"/>
          <w:color w:val="000000"/>
          <w:sz w:val="18"/>
          <w:szCs w:val="18"/>
        </w:rPr>
        <w:t>注</w:t>
      </w:r>
      <w:r>
        <w:rPr>
          <w:rFonts w:hint="eastAsia" w:eastAsia="Times New Roman"/>
          <w:color w:val="000000"/>
          <w:sz w:val="18"/>
          <w:szCs w:val="18"/>
        </w:rPr>
        <w:t>3</w:t>
      </w:r>
      <w:r>
        <w:rPr>
          <w:rFonts w:hint="eastAsia" w:ascii="宋体" w:hAnsi="宋体" w:cs="宋体"/>
          <w:color w:val="000000"/>
          <w:sz w:val="18"/>
          <w:szCs w:val="18"/>
        </w:rPr>
        <w:t>：为控制在高新材料行业的投资风险，</w:t>
      </w:r>
      <w:r>
        <w:rPr>
          <w:rFonts w:hint="eastAsia" w:eastAsia="Times New Roman"/>
          <w:color w:val="000000"/>
          <w:sz w:val="18"/>
          <w:szCs w:val="18"/>
        </w:rPr>
        <w:t>2019</w:t>
      </w:r>
      <w:r>
        <w:rPr>
          <w:rFonts w:hint="eastAsia" w:ascii="宋体" w:hAnsi="宋体" w:cs="宋体"/>
          <w:color w:val="000000"/>
          <w:sz w:val="18"/>
          <w:szCs w:val="18"/>
        </w:rPr>
        <w:t>年公司对募投项目方案进行调整和优化，结合公司经营情况和未来发展规划，将调减的</w:t>
      </w:r>
      <w:r>
        <w:rPr>
          <w:rFonts w:hint="eastAsia" w:eastAsia="Times New Roman"/>
          <w:color w:val="000000"/>
          <w:sz w:val="18"/>
          <w:szCs w:val="18"/>
        </w:rPr>
        <w:t>86,799.32</w:t>
      </w:r>
      <w:r>
        <w:rPr>
          <w:rFonts w:hint="eastAsia" w:ascii="宋体" w:hAnsi="宋体" w:cs="宋体"/>
          <w:color w:val="000000"/>
          <w:sz w:val="18"/>
          <w:szCs w:val="18"/>
        </w:rPr>
        <w:t>万元募集资金及募集资金前期现金管理收益</w:t>
      </w:r>
      <w:r>
        <w:rPr>
          <w:rFonts w:hint="eastAsia" w:eastAsia="Times New Roman"/>
          <w:color w:val="000000"/>
          <w:sz w:val="18"/>
          <w:szCs w:val="18"/>
        </w:rPr>
        <w:t>13,734.68</w:t>
      </w:r>
      <w:r>
        <w:rPr>
          <w:rFonts w:hint="eastAsia" w:ascii="宋体" w:hAnsi="宋体" w:cs="宋体"/>
          <w:color w:val="000000"/>
          <w:sz w:val="18"/>
          <w:szCs w:val="18"/>
        </w:rPr>
        <w:t>万元，共计</w:t>
      </w:r>
      <w:r>
        <w:rPr>
          <w:rFonts w:hint="eastAsia" w:eastAsia="Times New Roman"/>
          <w:color w:val="000000"/>
          <w:sz w:val="18"/>
          <w:szCs w:val="18"/>
        </w:rPr>
        <w:t>100,534.00</w:t>
      </w:r>
      <w:r>
        <w:rPr>
          <w:rFonts w:hint="eastAsia" w:ascii="宋体" w:hAnsi="宋体" w:cs="宋体"/>
          <w:color w:val="000000"/>
          <w:sz w:val="18"/>
          <w:szCs w:val="18"/>
        </w:rPr>
        <w:t>万元永久性补充流动资金。</w:t>
      </w:r>
    </w:p>
    <w:p w14:paraId="03D0FEBF">
      <w:pPr>
        <w:adjustRightInd w:val="0"/>
        <w:snapToGrid w:val="0"/>
        <w:spacing w:line="360" w:lineRule="auto"/>
        <w:ind w:firstLine="480" w:firstLineChars="200"/>
        <w:outlineLvl w:val="1"/>
        <w:rPr>
          <w:rFonts w:hint="eastAsia"/>
          <w:sz w:val="24"/>
          <w:szCs w:val="24"/>
        </w:rPr>
      </w:pPr>
      <w:r>
        <w:rPr>
          <w:rFonts w:hint="eastAsia" w:eastAsia="Times New Roman"/>
          <w:color w:val="000000"/>
          <w:sz w:val="24"/>
        </w:rPr>
        <w:t>2.募集资金的专户存储与监管情况</w:t>
      </w:r>
    </w:p>
    <w:p w14:paraId="3C2F90FD">
      <w:pPr>
        <w:adjustRightInd w:val="0"/>
        <w:snapToGrid w:val="0"/>
        <w:spacing w:line="360" w:lineRule="auto"/>
        <w:ind w:firstLine="480" w:firstLineChars="200"/>
        <w:rPr>
          <w:rFonts w:hint="eastAsia"/>
          <w:sz w:val="24"/>
          <w:szCs w:val="24"/>
        </w:rPr>
      </w:pPr>
      <w:r>
        <w:rPr>
          <w:rFonts w:hint="eastAsia"/>
          <w:sz w:val="24"/>
          <w:szCs w:val="24"/>
        </w:rPr>
        <w:t>募投项目的实施主体均为公司下属全资子公司，公司通过向募投项目实施子公司增资的方式拨付募集资金，为规范公司募集资金的使用与管理，保护投资者的合法权益，公司及相关下属公司分别与中德证券以及相应存管银行签订了《募集资金三方监管协议》，截至2024年9月30日，拟结项募集资金投资项目“项目六”的资金具体存放情况如下：</w:t>
      </w:r>
    </w:p>
    <w:p w14:paraId="7CE974B5">
      <w:pPr>
        <w:adjustRightInd w:val="0"/>
        <w:snapToGrid w:val="0"/>
        <w:ind w:firstLine="300" w:firstLineChars="200"/>
        <w:jc w:val="right"/>
        <w:rPr>
          <w:sz w:val="15"/>
          <w:szCs w:val="15"/>
        </w:rPr>
      </w:pPr>
      <w:r>
        <w:rPr>
          <w:rFonts w:hint="eastAsia"/>
          <w:sz w:val="15"/>
          <w:szCs w:val="15"/>
        </w:rPr>
        <w:t>单位：万元</w:t>
      </w:r>
    </w:p>
    <w:tbl>
      <w:tblPr>
        <w:tblStyle w:val="8"/>
        <w:tblW w:w="8348" w:type="dxa"/>
        <w:tblInd w:w="93" w:type="dxa"/>
        <w:tblLayout w:type="fixed"/>
        <w:tblCellMar>
          <w:top w:w="0" w:type="dxa"/>
          <w:left w:w="108" w:type="dxa"/>
          <w:bottom w:w="0" w:type="dxa"/>
          <w:right w:w="108" w:type="dxa"/>
        </w:tblCellMar>
      </w:tblPr>
      <w:tblGrid>
        <w:gridCol w:w="393"/>
        <w:gridCol w:w="2039"/>
        <w:gridCol w:w="2469"/>
        <w:gridCol w:w="1962"/>
        <w:gridCol w:w="1485"/>
      </w:tblGrid>
      <w:tr w14:paraId="4DE01DC9">
        <w:tblPrEx>
          <w:tblCellMar>
            <w:top w:w="0" w:type="dxa"/>
            <w:left w:w="108" w:type="dxa"/>
            <w:bottom w:w="0" w:type="dxa"/>
            <w:right w:w="108" w:type="dxa"/>
          </w:tblCellMar>
        </w:tblPrEx>
        <w:trPr>
          <w:trHeight w:val="671" w:hRule="atLeast"/>
        </w:trPr>
        <w:tc>
          <w:tcPr>
            <w:tcW w:w="39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36A85508">
            <w:pPr>
              <w:widowControl/>
              <w:jc w:val="left"/>
              <w:textAlignment w:val="center"/>
              <w:rPr>
                <w:rFonts w:hint="default"/>
                <w:b/>
                <w:bCs/>
                <w:color w:val="000000"/>
                <w:sz w:val="18"/>
                <w:szCs w:val="18"/>
              </w:rPr>
            </w:pPr>
            <w:r>
              <w:rPr>
                <w:rFonts w:hint="default"/>
                <w:b/>
                <w:bCs/>
                <w:color w:val="000000"/>
                <w:kern w:val="0"/>
                <w:sz w:val="18"/>
                <w:szCs w:val="18"/>
                <w:lang w:bidi="ar"/>
              </w:rPr>
              <w:t>序号</w:t>
            </w:r>
          </w:p>
        </w:tc>
        <w:tc>
          <w:tcPr>
            <w:tcW w:w="2039"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2862092">
            <w:pPr>
              <w:widowControl/>
              <w:jc w:val="left"/>
              <w:textAlignment w:val="center"/>
              <w:rPr>
                <w:rFonts w:hint="default"/>
                <w:b/>
                <w:bCs/>
                <w:color w:val="000000"/>
                <w:sz w:val="18"/>
                <w:szCs w:val="18"/>
              </w:rPr>
            </w:pPr>
            <w:r>
              <w:rPr>
                <w:rFonts w:hint="default"/>
                <w:b/>
                <w:bCs/>
                <w:color w:val="000000"/>
                <w:kern w:val="0"/>
                <w:sz w:val="18"/>
                <w:szCs w:val="18"/>
                <w:lang w:bidi="ar"/>
              </w:rPr>
              <w:t>账户名称</w:t>
            </w:r>
          </w:p>
        </w:tc>
        <w:tc>
          <w:tcPr>
            <w:tcW w:w="2469"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17955524">
            <w:pPr>
              <w:widowControl/>
              <w:jc w:val="left"/>
              <w:textAlignment w:val="center"/>
              <w:rPr>
                <w:rFonts w:hint="default"/>
                <w:b/>
                <w:bCs/>
                <w:color w:val="000000"/>
                <w:sz w:val="18"/>
                <w:szCs w:val="18"/>
              </w:rPr>
            </w:pPr>
            <w:r>
              <w:rPr>
                <w:rFonts w:hint="default"/>
                <w:b/>
                <w:bCs/>
                <w:color w:val="000000"/>
                <w:kern w:val="0"/>
                <w:sz w:val="18"/>
                <w:szCs w:val="18"/>
                <w:lang w:bidi="ar"/>
              </w:rPr>
              <w:t>开户银行</w:t>
            </w:r>
          </w:p>
        </w:tc>
        <w:tc>
          <w:tcPr>
            <w:tcW w:w="1962"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73E72A2">
            <w:pPr>
              <w:widowControl/>
              <w:jc w:val="left"/>
              <w:textAlignment w:val="center"/>
              <w:rPr>
                <w:rFonts w:hint="default"/>
                <w:b/>
                <w:bCs/>
                <w:color w:val="000000"/>
                <w:sz w:val="18"/>
                <w:szCs w:val="18"/>
              </w:rPr>
            </w:pPr>
            <w:r>
              <w:rPr>
                <w:rFonts w:hint="default"/>
                <w:b/>
                <w:bCs/>
                <w:color w:val="000000"/>
                <w:kern w:val="0"/>
                <w:sz w:val="18"/>
                <w:szCs w:val="18"/>
                <w:lang w:bidi="ar"/>
              </w:rPr>
              <w:t>账户号码</w:t>
            </w:r>
          </w:p>
        </w:tc>
        <w:tc>
          <w:tcPr>
            <w:tcW w:w="1485"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75E7BA4">
            <w:pPr>
              <w:widowControl/>
              <w:jc w:val="left"/>
              <w:textAlignment w:val="center"/>
              <w:rPr>
                <w:rFonts w:hint="default"/>
                <w:b/>
                <w:bCs/>
                <w:color w:val="000000"/>
                <w:sz w:val="18"/>
                <w:szCs w:val="18"/>
              </w:rPr>
            </w:pPr>
            <w:r>
              <w:rPr>
                <w:rFonts w:hint="default"/>
                <w:b/>
                <w:bCs/>
                <w:color w:val="000000"/>
                <w:kern w:val="0"/>
                <w:sz w:val="18"/>
                <w:szCs w:val="18"/>
                <w:lang w:bidi="ar"/>
              </w:rPr>
              <w:t>账户余额（含</w:t>
            </w:r>
            <w:r>
              <w:rPr>
                <w:b/>
                <w:bCs/>
                <w:color w:val="000000"/>
                <w:kern w:val="0"/>
                <w:sz w:val="18"/>
                <w:szCs w:val="18"/>
                <w:lang w:bidi="ar"/>
              </w:rPr>
              <w:t>现金管理余额</w:t>
            </w:r>
            <w:r>
              <w:rPr>
                <w:rFonts w:hint="default"/>
                <w:b/>
                <w:bCs/>
                <w:color w:val="000000"/>
                <w:kern w:val="0"/>
                <w:sz w:val="18"/>
                <w:szCs w:val="18"/>
                <w:lang w:bidi="ar"/>
              </w:rPr>
              <w:t>）</w:t>
            </w:r>
          </w:p>
        </w:tc>
      </w:tr>
      <w:tr w14:paraId="534ACEED">
        <w:tblPrEx>
          <w:tblCellMar>
            <w:top w:w="0" w:type="dxa"/>
            <w:left w:w="108" w:type="dxa"/>
            <w:bottom w:w="0" w:type="dxa"/>
            <w:right w:w="108" w:type="dxa"/>
          </w:tblCellMar>
        </w:tblPrEx>
        <w:trPr>
          <w:trHeight w:val="90"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14:paraId="62074FE0">
            <w:pPr>
              <w:widowControl/>
              <w:jc w:val="right"/>
              <w:textAlignment w:val="center"/>
              <w:rPr>
                <w:rFonts w:hint="default"/>
                <w:color w:val="000000"/>
                <w:sz w:val="18"/>
                <w:szCs w:val="18"/>
              </w:rPr>
            </w:pPr>
            <w:r>
              <w:rPr>
                <w:rFonts w:hint="default"/>
                <w:color w:val="000000"/>
                <w:kern w:val="0"/>
                <w:sz w:val="18"/>
                <w:szCs w:val="18"/>
                <w:lang w:bidi="ar"/>
              </w:rPr>
              <w:t>1</w:t>
            </w:r>
          </w:p>
        </w:tc>
        <w:tc>
          <w:tcPr>
            <w:tcW w:w="2039" w:type="dxa"/>
            <w:tcBorders>
              <w:top w:val="single" w:color="000000" w:sz="4" w:space="0"/>
              <w:left w:val="single" w:color="000000" w:sz="4" w:space="0"/>
              <w:bottom w:val="single" w:color="000000" w:sz="4" w:space="0"/>
              <w:right w:val="single" w:color="000000" w:sz="4" w:space="0"/>
            </w:tcBorders>
            <w:noWrap/>
            <w:vAlign w:val="center"/>
          </w:tcPr>
          <w:p w14:paraId="2D74EDAD">
            <w:pPr>
              <w:widowControl/>
              <w:jc w:val="left"/>
              <w:textAlignment w:val="center"/>
              <w:rPr>
                <w:rFonts w:hint="default"/>
                <w:color w:val="000000"/>
                <w:sz w:val="18"/>
                <w:szCs w:val="18"/>
              </w:rPr>
            </w:pPr>
            <w:r>
              <w:rPr>
                <w:rFonts w:hint="default"/>
                <w:color w:val="000000"/>
                <w:sz w:val="18"/>
                <w:szCs w:val="18"/>
              </w:rPr>
              <w:t>中广核核技术发展股份有限公司</w:t>
            </w:r>
          </w:p>
        </w:tc>
        <w:tc>
          <w:tcPr>
            <w:tcW w:w="2469" w:type="dxa"/>
            <w:tcBorders>
              <w:top w:val="single" w:color="000000" w:sz="4" w:space="0"/>
              <w:left w:val="single" w:color="000000" w:sz="4" w:space="0"/>
              <w:bottom w:val="single" w:color="000000" w:sz="4" w:space="0"/>
              <w:right w:val="single" w:color="000000" w:sz="4" w:space="0"/>
            </w:tcBorders>
            <w:noWrap/>
            <w:vAlign w:val="center"/>
          </w:tcPr>
          <w:p w14:paraId="5B39A25C">
            <w:pPr>
              <w:jc w:val="left"/>
              <w:rPr>
                <w:rFonts w:hint="default"/>
                <w:color w:val="000000"/>
                <w:sz w:val="18"/>
                <w:szCs w:val="18"/>
              </w:rPr>
            </w:pPr>
            <w:r>
              <w:rPr>
                <w:color w:val="000000"/>
                <w:sz w:val="18"/>
                <w:szCs w:val="18"/>
              </w:rPr>
              <w:t>上海浦东发展银行深圳分行</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013144B1">
            <w:pPr>
              <w:jc w:val="left"/>
              <w:rPr>
                <w:rFonts w:hint="default"/>
                <w:color w:val="000000"/>
                <w:sz w:val="18"/>
                <w:szCs w:val="18"/>
              </w:rPr>
            </w:pPr>
            <w:r>
              <w:rPr>
                <w:rFonts w:eastAsia="等线"/>
                <w:color w:val="000000"/>
                <w:sz w:val="18"/>
                <w:szCs w:val="18"/>
              </w:rPr>
              <w:t>79170155200017002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34A0AA1A">
            <w:pPr>
              <w:widowControl/>
              <w:jc w:val="right"/>
              <w:textAlignment w:val="center"/>
              <w:rPr>
                <w:rFonts w:hint="default"/>
                <w:color w:val="000000"/>
                <w:sz w:val="18"/>
                <w:szCs w:val="18"/>
              </w:rPr>
            </w:pPr>
            <w:r>
              <w:rPr>
                <w:rFonts w:hint="default"/>
                <w:color w:val="000000"/>
                <w:sz w:val="18"/>
                <w:szCs w:val="18"/>
              </w:rPr>
              <w:t>19,972.85</w:t>
            </w:r>
          </w:p>
        </w:tc>
      </w:tr>
      <w:tr w14:paraId="55E29E02">
        <w:tblPrEx>
          <w:tblCellMar>
            <w:top w:w="0" w:type="dxa"/>
            <w:left w:w="108" w:type="dxa"/>
            <w:bottom w:w="0" w:type="dxa"/>
            <w:right w:w="108" w:type="dxa"/>
          </w:tblCellMar>
        </w:tblPrEx>
        <w:trPr>
          <w:trHeight w:val="90"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14:paraId="6D8FF151">
            <w:pPr>
              <w:widowControl/>
              <w:jc w:val="right"/>
              <w:textAlignment w:val="center"/>
              <w:rPr>
                <w:rFonts w:hint="default"/>
                <w:color w:val="000000"/>
                <w:kern w:val="0"/>
                <w:sz w:val="18"/>
                <w:szCs w:val="18"/>
                <w:lang w:bidi="ar"/>
              </w:rPr>
            </w:pPr>
            <w:r>
              <w:rPr>
                <w:color w:val="000000"/>
                <w:kern w:val="0"/>
                <w:sz w:val="18"/>
                <w:szCs w:val="18"/>
                <w:lang w:bidi="ar"/>
              </w:rPr>
              <w:t>2</w:t>
            </w:r>
          </w:p>
        </w:tc>
        <w:tc>
          <w:tcPr>
            <w:tcW w:w="2039" w:type="dxa"/>
            <w:tcBorders>
              <w:top w:val="single" w:color="000000" w:sz="4" w:space="0"/>
              <w:left w:val="single" w:color="000000" w:sz="4" w:space="0"/>
              <w:bottom w:val="single" w:color="000000" w:sz="4" w:space="0"/>
              <w:right w:val="single" w:color="000000" w:sz="4" w:space="0"/>
            </w:tcBorders>
            <w:noWrap/>
            <w:vAlign w:val="center"/>
          </w:tcPr>
          <w:p w14:paraId="67B83DA5">
            <w:pPr>
              <w:widowControl/>
              <w:jc w:val="left"/>
              <w:textAlignment w:val="center"/>
              <w:rPr>
                <w:rFonts w:hint="default"/>
                <w:color w:val="000000"/>
                <w:kern w:val="0"/>
                <w:sz w:val="18"/>
                <w:szCs w:val="18"/>
                <w:lang w:bidi="ar"/>
              </w:rPr>
            </w:pPr>
            <w:r>
              <w:rPr>
                <w:rFonts w:hint="default"/>
                <w:color w:val="000000"/>
                <w:kern w:val="0"/>
                <w:sz w:val="18"/>
                <w:szCs w:val="18"/>
                <w:lang w:bidi="ar"/>
              </w:rPr>
              <w:t>中广核高新核材集团有限公司</w:t>
            </w:r>
          </w:p>
        </w:tc>
        <w:tc>
          <w:tcPr>
            <w:tcW w:w="2469" w:type="dxa"/>
            <w:tcBorders>
              <w:top w:val="single" w:color="000000" w:sz="4" w:space="0"/>
              <w:left w:val="single" w:color="000000" w:sz="4" w:space="0"/>
              <w:bottom w:val="single" w:color="000000" w:sz="4" w:space="0"/>
              <w:right w:val="single" w:color="000000" w:sz="4" w:space="0"/>
            </w:tcBorders>
            <w:noWrap/>
            <w:vAlign w:val="center"/>
          </w:tcPr>
          <w:p w14:paraId="01A3C7BE">
            <w:pPr>
              <w:jc w:val="left"/>
              <w:rPr>
                <w:rFonts w:hint="default"/>
                <w:color w:val="000000"/>
                <w:kern w:val="0"/>
                <w:sz w:val="18"/>
                <w:szCs w:val="18"/>
                <w:lang w:bidi="ar"/>
              </w:rPr>
            </w:pPr>
            <w:r>
              <w:rPr>
                <w:color w:val="000000"/>
                <w:sz w:val="18"/>
                <w:szCs w:val="18"/>
              </w:rPr>
              <w:t>中国银行太仓沙溪支行</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7067B29B">
            <w:pPr>
              <w:jc w:val="left"/>
              <w:rPr>
                <w:rFonts w:hint="default"/>
                <w:color w:val="000000"/>
                <w:kern w:val="0"/>
                <w:sz w:val="18"/>
                <w:szCs w:val="18"/>
                <w:lang w:bidi="ar"/>
              </w:rPr>
            </w:pPr>
            <w:r>
              <w:rPr>
                <w:rFonts w:eastAsia="等线"/>
                <w:color w:val="000000"/>
                <w:sz w:val="18"/>
                <w:szCs w:val="18"/>
              </w:rPr>
              <w:t>478070594733</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08AD67CB">
            <w:pPr>
              <w:widowControl/>
              <w:jc w:val="right"/>
              <w:textAlignment w:val="center"/>
              <w:rPr>
                <w:rFonts w:hint="default"/>
                <w:color w:val="000000"/>
                <w:kern w:val="0"/>
                <w:sz w:val="18"/>
                <w:szCs w:val="18"/>
                <w:lang w:bidi="ar"/>
              </w:rPr>
            </w:pPr>
            <w:r>
              <w:rPr>
                <w:rFonts w:hint="default"/>
                <w:color w:val="000000"/>
                <w:kern w:val="0"/>
                <w:sz w:val="18"/>
                <w:szCs w:val="18"/>
                <w:lang w:bidi="ar"/>
              </w:rPr>
              <w:t>15.22</w:t>
            </w:r>
          </w:p>
        </w:tc>
      </w:tr>
      <w:tr w14:paraId="015878B0">
        <w:tblPrEx>
          <w:tblCellMar>
            <w:top w:w="0" w:type="dxa"/>
            <w:left w:w="108" w:type="dxa"/>
            <w:bottom w:w="0" w:type="dxa"/>
            <w:right w:w="108" w:type="dxa"/>
          </w:tblCellMar>
        </w:tblPrEx>
        <w:trPr>
          <w:trHeight w:val="118"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14:paraId="0E9AA904">
            <w:pPr>
              <w:widowControl/>
              <w:jc w:val="right"/>
              <w:textAlignment w:val="center"/>
              <w:rPr>
                <w:rFonts w:hint="default"/>
                <w:color w:val="000000"/>
                <w:sz w:val="18"/>
                <w:szCs w:val="18"/>
              </w:rPr>
            </w:pPr>
            <w:r>
              <w:rPr>
                <w:color w:val="000000"/>
                <w:kern w:val="0"/>
                <w:sz w:val="18"/>
                <w:szCs w:val="18"/>
                <w:lang w:bidi="ar"/>
              </w:rPr>
              <w:t>3</w:t>
            </w:r>
          </w:p>
        </w:tc>
        <w:tc>
          <w:tcPr>
            <w:tcW w:w="2039" w:type="dxa"/>
            <w:tcBorders>
              <w:top w:val="single" w:color="000000" w:sz="4" w:space="0"/>
              <w:left w:val="single" w:color="000000" w:sz="4" w:space="0"/>
              <w:bottom w:val="single" w:color="000000" w:sz="4" w:space="0"/>
              <w:right w:val="single" w:color="000000" w:sz="4" w:space="0"/>
            </w:tcBorders>
            <w:noWrap/>
            <w:vAlign w:val="center"/>
          </w:tcPr>
          <w:p w14:paraId="4DABCC51">
            <w:pPr>
              <w:widowControl/>
              <w:jc w:val="left"/>
              <w:textAlignment w:val="center"/>
              <w:rPr>
                <w:rFonts w:hint="default"/>
                <w:color w:val="000000"/>
                <w:sz w:val="18"/>
                <w:szCs w:val="18"/>
              </w:rPr>
            </w:pPr>
            <w:r>
              <w:rPr>
                <w:rFonts w:hint="default"/>
                <w:color w:val="000000"/>
                <w:sz w:val="18"/>
                <w:szCs w:val="18"/>
              </w:rPr>
              <w:t>中广核三角洲（中山）高聚物有限公司（已更名为</w:t>
            </w:r>
            <w:r>
              <w:rPr>
                <w:rFonts w:hint="eastAsia" w:ascii="宋体" w:hAnsi="宋体" w:eastAsia="宋体" w:cs="宋体"/>
                <w:color w:val="000000"/>
                <w:sz w:val="18"/>
                <w:szCs w:val="18"/>
              </w:rPr>
              <w:t>“中广核高新核材（广东）有限公司”</w:t>
            </w:r>
            <w:r>
              <w:rPr>
                <w:rFonts w:hint="default"/>
                <w:color w:val="000000"/>
                <w:sz w:val="18"/>
                <w:szCs w:val="18"/>
              </w:rPr>
              <w:t>）</w:t>
            </w:r>
          </w:p>
        </w:tc>
        <w:tc>
          <w:tcPr>
            <w:tcW w:w="2469" w:type="dxa"/>
            <w:tcBorders>
              <w:top w:val="single" w:color="000000" w:sz="4" w:space="0"/>
              <w:left w:val="single" w:color="000000" w:sz="4" w:space="0"/>
              <w:bottom w:val="single" w:color="000000" w:sz="4" w:space="0"/>
              <w:right w:val="single" w:color="000000" w:sz="4" w:space="0"/>
            </w:tcBorders>
            <w:noWrap/>
            <w:vAlign w:val="center"/>
          </w:tcPr>
          <w:p w14:paraId="104D1F2C">
            <w:pPr>
              <w:jc w:val="left"/>
              <w:rPr>
                <w:rFonts w:hint="default"/>
                <w:color w:val="000000"/>
                <w:sz w:val="18"/>
                <w:szCs w:val="18"/>
              </w:rPr>
            </w:pPr>
            <w:r>
              <w:rPr>
                <w:color w:val="000000"/>
                <w:sz w:val="18"/>
                <w:szCs w:val="18"/>
              </w:rPr>
              <w:t>中国农业银行太仓沙溪支行</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21BF2926">
            <w:pPr>
              <w:jc w:val="left"/>
              <w:rPr>
                <w:rFonts w:hint="default"/>
                <w:color w:val="000000"/>
                <w:sz w:val="18"/>
                <w:szCs w:val="18"/>
              </w:rPr>
            </w:pPr>
            <w:r>
              <w:rPr>
                <w:rFonts w:eastAsia="等线"/>
                <w:color w:val="000000"/>
                <w:sz w:val="18"/>
                <w:szCs w:val="18"/>
              </w:rPr>
              <w:t>10534701040017996</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67ADFF2">
            <w:pPr>
              <w:widowControl/>
              <w:jc w:val="right"/>
              <w:textAlignment w:val="center"/>
              <w:rPr>
                <w:rFonts w:hint="default"/>
                <w:color w:val="000000"/>
                <w:sz w:val="18"/>
                <w:szCs w:val="18"/>
              </w:rPr>
            </w:pPr>
            <w:r>
              <w:rPr>
                <w:rFonts w:hint="default"/>
                <w:color w:val="000000"/>
                <w:sz w:val="18"/>
                <w:szCs w:val="18"/>
              </w:rPr>
              <w:t>5,232.76</w:t>
            </w:r>
          </w:p>
        </w:tc>
      </w:tr>
      <w:tr w14:paraId="15D01EA2">
        <w:tblPrEx>
          <w:tblCellMar>
            <w:top w:w="0" w:type="dxa"/>
            <w:left w:w="108" w:type="dxa"/>
            <w:bottom w:w="0" w:type="dxa"/>
            <w:right w:w="108" w:type="dxa"/>
          </w:tblCellMar>
        </w:tblPrEx>
        <w:trPr>
          <w:trHeight w:val="90" w:hRule="atLeast"/>
        </w:trPr>
        <w:tc>
          <w:tcPr>
            <w:tcW w:w="6863" w:type="dxa"/>
            <w:gridSpan w:val="4"/>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1D95C067">
            <w:pPr>
              <w:jc w:val="center"/>
              <w:rPr>
                <w:rFonts w:hint="default"/>
                <w:b/>
                <w:bCs/>
                <w:color w:val="000000"/>
                <w:sz w:val="18"/>
                <w:szCs w:val="18"/>
                <w:highlight w:val="lightGray"/>
              </w:rPr>
            </w:pPr>
            <w:r>
              <w:rPr>
                <w:rFonts w:hint="default"/>
                <w:b/>
                <w:bCs/>
                <w:color w:val="000000"/>
                <w:kern w:val="0"/>
                <w:sz w:val="18"/>
                <w:szCs w:val="18"/>
                <w:lang w:bidi="ar"/>
              </w:rPr>
              <w:t>合计</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A02325C">
            <w:pPr>
              <w:widowControl/>
              <w:jc w:val="right"/>
              <w:textAlignment w:val="center"/>
              <w:rPr>
                <w:rFonts w:hint="default"/>
                <w:color w:val="000000"/>
                <w:sz w:val="18"/>
                <w:szCs w:val="18"/>
              </w:rPr>
            </w:pPr>
            <w:r>
              <w:rPr>
                <w:rFonts w:hint="default"/>
                <w:color w:val="000000"/>
                <w:sz w:val="18"/>
                <w:szCs w:val="18"/>
              </w:rPr>
              <w:t>25,220.83</w:t>
            </w:r>
          </w:p>
        </w:tc>
      </w:tr>
    </w:tbl>
    <w:p w14:paraId="159D923F">
      <w:pPr>
        <w:adjustRightInd w:val="0"/>
        <w:snapToGrid w:val="0"/>
        <w:spacing w:line="360" w:lineRule="auto"/>
        <w:ind w:firstLine="482" w:firstLineChars="200"/>
        <w:rPr>
          <w:rFonts w:hint="eastAsia"/>
          <w:sz w:val="24"/>
          <w:szCs w:val="24"/>
        </w:rPr>
      </w:pPr>
      <w:r>
        <w:rPr>
          <w:rFonts w:hint="eastAsia"/>
          <w:b/>
          <w:bCs/>
          <w:sz w:val="24"/>
          <w:szCs w:val="24"/>
        </w:rPr>
        <w:t>二、</w:t>
      </w:r>
      <w:r>
        <w:rPr>
          <w:b/>
          <w:bCs/>
          <w:sz w:val="24"/>
          <w:szCs w:val="24"/>
        </w:rPr>
        <w:t>募</w:t>
      </w:r>
      <w:r>
        <w:rPr>
          <w:rFonts w:hint="eastAsia"/>
          <w:b/>
          <w:bCs/>
          <w:sz w:val="24"/>
          <w:szCs w:val="24"/>
        </w:rPr>
        <w:t>集资金投资项目实施及结余情况</w:t>
      </w:r>
    </w:p>
    <w:p w14:paraId="0AD4B3B9">
      <w:pPr>
        <w:adjustRightInd w:val="0"/>
        <w:snapToGrid w:val="0"/>
        <w:spacing w:line="360" w:lineRule="auto"/>
        <w:ind w:firstLine="480" w:firstLineChars="200"/>
        <w:rPr>
          <w:rFonts w:hint="eastAsia"/>
          <w:sz w:val="24"/>
          <w:szCs w:val="24"/>
        </w:rPr>
      </w:pPr>
      <w:r>
        <w:rPr>
          <w:rFonts w:hint="eastAsia"/>
          <w:sz w:val="24"/>
          <w:szCs w:val="24"/>
        </w:rPr>
        <w:t>截至2023年12月31日，公司已完成“项目一”、“项目二”、“项目三”、“项目四”、“项目五”、“项目七”的相关建设，并达到预定可使用状态。</w:t>
      </w:r>
    </w:p>
    <w:p w14:paraId="03E87A56">
      <w:pPr>
        <w:spacing w:line="360" w:lineRule="auto"/>
        <w:ind w:firstLine="480" w:firstLineChars="200"/>
        <w:rPr>
          <w:sz w:val="24"/>
          <w:szCs w:val="24"/>
        </w:rPr>
      </w:pPr>
      <w:r>
        <w:rPr>
          <w:rFonts w:hint="eastAsia"/>
          <w:sz w:val="24"/>
          <w:szCs w:val="24"/>
        </w:rPr>
        <w:t>“项目六”于2017年12月该项目取得施工许可证并随后正式开工建设，因与施工方存在建设工程施工合同纠纷导致项目停工。2022年8月25日，公司召开第九届董事会第三十次会议，审议通过了《关于中山产业园10万吨新材料新建项目投资方案调整的议案》，其中</w:t>
      </w:r>
      <w:r>
        <w:rPr>
          <w:rFonts w:hint="eastAsia"/>
          <w:sz w:val="24"/>
        </w:rPr>
        <w:t>项目名称、建设单位、建设地点不变，减少硅烷交联PE、化学交联PE，增加PC工程材料、TPO防水卷材料、可降解材料，总产能不变。</w:t>
      </w:r>
      <w:r>
        <w:rPr>
          <w:sz w:val="24"/>
        </w:rPr>
        <w:t>项目建设投资</w:t>
      </w:r>
      <w:r>
        <w:rPr>
          <w:rFonts w:hint="eastAsia"/>
          <w:sz w:val="24"/>
        </w:rPr>
        <w:t>总额由交易报告书中的原拟投入募集资金总额37,142.60万元调整至</w:t>
      </w:r>
      <w:r>
        <w:rPr>
          <w:rFonts w:hint="eastAsia"/>
          <w:sz w:val="24"/>
          <w:szCs w:val="24"/>
        </w:rPr>
        <w:t>36,944.36</w:t>
      </w:r>
      <w:r>
        <w:rPr>
          <w:sz w:val="24"/>
          <w:szCs w:val="24"/>
        </w:rPr>
        <w:t>万元。</w:t>
      </w:r>
      <w:r>
        <w:rPr>
          <w:rFonts w:hint="eastAsia"/>
          <w:sz w:val="24"/>
          <w:szCs w:val="24"/>
        </w:rPr>
        <w:t>“项目六”于2023年1月重新取得施工许可证，2023年8月所有单体工程完成封顶，2024年6月完成竣工验收。</w:t>
      </w:r>
    </w:p>
    <w:p w14:paraId="6C562ACF">
      <w:pPr>
        <w:adjustRightInd w:val="0"/>
        <w:snapToGrid w:val="0"/>
        <w:spacing w:line="360" w:lineRule="auto"/>
        <w:ind w:firstLine="480" w:firstLineChars="200"/>
        <w:rPr>
          <w:rFonts w:hint="eastAsia"/>
          <w:sz w:val="24"/>
          <w:szCs w:val="24"/>
        </w:rPr>
      </w:pPr>
      <w:r>
        <w:rPr>
          <w:rFonts w:hint="eastAsia"/>
          <w:sz w:val="24"/>
          <w:szCs w:val="24"/>
        </w:rPr>
        <w:t>截至2024年9月30日，“项目六”剩余募集</w:t>
      </w:r>
      <w:r>
        <w:rPr>
          <w:sz w:val="24"/>
          <w:szCs w:val="24"/>
        </w:rPr>
        <w:t>资金25,220.83万元。</w:t>
      </w:r>
    </w:p>
    <w:p w14:paraId="1F0A7F22">
      <w:pPr>
        <w:adjustRightInd w:val="0"/>
        <w:snapToGrid w:val="0"/>
        <w:spacing w:line="360" w:lineRule="auto"/>
        <w:ind w:firstLine="300" w:firstLineChars="200"/>
        <w:jc w:val="right"/>
        <w:rPr>
          <w:rFonts w:hint="eastAsia"/>
          <w:sz w:val="15"/>
          <w:szCs w:val="15"/>
        </w:rPr>
      </w:pPr>
      <w:r>
        <w:rPr>
          <w:rFonts w:hint="eastAsia"/>
          <w:sz w:val="15"/>
          <w:szCs w:val="15"/>
        </w:rPr>
        <w:t>单位：万元</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1413"/>
        <w:gridCol w:w="1243"/>
        <w:gridCol w:w="1789"/>
        <w:gridCol w:w="1642"/>
      </w:tblGrid>
      <w:tr w14:paraId="1004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4" w:hRule="atLeast"/>
        </w:trPr>
        <w:tc>
          <w:tcPr>
            <w:tcW w:w="2435" w:type="dxa"/>
            <w:shd w:val="clear" w:color="auto" w:fill="DCDCDC"/>
            <w:noWrap w:val="0"/>
            <w:vAlign w:val="center"/>
          </w:tcPr>
          <w:p w14:paraId="1E470537">
            <w:pPr>
              <w:widowControl/>
              <w:jc w:val="center"/>
              <w:textAlignment w:val="center"/>
              <w:rPr>
                <w:rFonts w:hint="default" w:ascii="Times New Roman" w:hAnsi="Times New Roman" w:eastAsia="宋体" w:cs="Times New Roman"/>
                <w:b/>
                <w:bCs/>
                <w:color w:val="0000FF"/>
                <w:sz w:val="18"/>
                <w:szCs w:val="18"/>
              </w:rPr>
            </w:pPr>
            <w:r>
              <w:rPr>
                <w:rFonts w:hint="default" w:ascii="Times New Roman" w:hAnsi="Times New Roman" w:eastAsia="宋体" w:cs="Times New Roman"/>
                <w:b/>
                <w:bCs/>
                <w:color w:val="000000"/>
                <w:kern w:val="0"/>
                <w:sz w:val="18"/>
                <w:szCs w:val="18"/>
                <w:lang w:bidi="ar"/>
              </w:rPr>
              <w:t>拟结项募集资金投资项目</w:t>
            </w:r>
          </w:p>
        </w:tc>
        <w:tc>
          <w:tcPr>
            <w:tcW w:w="1413" w:type="dxa"/>
            <w:shd w:val="clear" w:color="auto" w:fill="DCDCDC"/>
            <w:noWrap w:val="0"/>
            <w:vAlign w:val="center"/>
          </w:tcPr>
          <w:p w14:paraId="426AD5BD">
            <w:pPr>
              <w:widowControl/>
              <w:jc w:val="center"/>
              <w:textAlignment w:val="center"/>
              <w:rPr>
                <w:rFonts w:hint="default" w:ascii="Times New Roman" w:hAnsi="Times New Roman" w:eastAsia="宋体" w:cs="Times New Roman"/>
                <w:b/>
                <w:bCs/>
                <w:color w:val="0000FF"/>
                <w:sz w:val="18"/>
                <w:szCs w:val="18"/>
              </w:rPr>
            </w:pPr>
            <w:r>
              <w:rPr>
                <w:rFonts w:hint="default" w:ascii="Times New Roman" w:hAnsi="Times New Roman" w:eastAsia="宋体" w:cs="Times New Roman"/>
                <w:b/>
                <w:bCs/>
                <w:color w:val="000000"/>
                <w:kern w:val="0"/>
                <w:sz w:val="18"/>
                <w:szCs w:val="18"/>
                <w:lang w:bidi="ar"/>
              </w:rPr>
              <w:t>原拟投入募集资金总额①</w:t>
            </w:r>
          </w:p>
        </w:tc>
        <w:tc>
          <w:tcPr>
            <w:tcW w:w="1243" w:type="dxa"/>
            <w:shd w:val="clear" w:color="auto" w:fill="DCDCDC"/>
            <w:noWrap w:val="0"/>
            <w:vAlign w:val="center"/>
          </w:tcPr>
          <w:p w14:paraId="4D0251BE">
            <w:pPr>
              <w:widowControl/>
              <w:jc w:val="center"/>
              <w:textAlignment w:val="center"/>
              <w:rPr>
                <w:rFonts w:hint="default" w:ascii="Times New Roman" w:hAnsi="Times New Roman" w:eastAsia="宋体" w:cs="Times New Roman"/>
                <w:b/>
                <w:bCs/>
                <w:color w:val="0000FF"/>
                <w:sz w:val="18"/>
                <w:szCs w:val="18"/>
              </w:rPr>
            </w:pPr>
            <w:r>
              <w:rPr>
                <w:rFonts w:hint="default" w:ascii="Times New Roman" w:hAnsi="Times New Roman" w:eastAsia="宋体" w:cs="Times New Roman"/>
                <w:b/>
                <w:bCs/>
                <w:color w:val="000000"/>
                <w:kern w:val="0"/>
                <w:sz w:val="18"/>
                <w:szCs w:val="18"/>
                <w:lang w:bidi="ar"/>
              </w:rPr>
              <w:t>实际使用募集资金②</w:t>
            </w:r>
          </w:p>
        </w:tc>
        <w:tc>
          <w:tcPr>
            <w:tcW w:w="1789" w:type="dxa"/>
            <w:shd w:val="clear" w:color="auto" w:fill="DCDCDC"/>
            <w:noWrap w:val="0"/>
            <w:vAlign w:val="center"/>
          </w:tcPr>
          <w:p w14:paraId="4D4BC314">
            <w:pPr>
              <w:widowControl/>
              <w:jc w:val="center"/>
              <w:textAlignment w:val="center"/>
              <w:rPr>
                <w:rFonts w:hint="default" w:ascii="Times New Roman" w:hAnsi="Times New Roman" w:eastAsia="宋体" w:cs="Times New Roman"/>
                <w:b/>
                <w:bCs/>
                <w:color w:val="0000FF"/>
                <w:sz w:val="18"/>
                <w:szCs w:val="18"/>
              </w:rPr>
            </w:pPr>
            <w:r>
              <w:rPr>
                <w:rFonts w:hint="default" w:ascii="Times New Roman" w:hAnsi="Times New Roman" w:eastAsia="宋体" w:cs="Times New Roman"/>
                <w:b/>
                <w:bCs/>
                <w:color w:val="000000"/>
                <w:kern w:val="0"/>
                <w:sz w:val="18"/>
                <w:szCs w:val="18"/>
                <w:lang w:bidi="ar"/>
              </w:rPr>
              <w:t>利息与理财收益扣除手续费等③</w:t>
            </w:r>
          </w:p>
        </w:tc>
        <w:tc>
          <w:tcPr>
            <w:tcW w:w="1642" w:type="dxa"/>
            <w:shd w:val="clear" w:color="auto" w:fill="DCDCDC"/>
            <w:noWrap w:val="0"/>
            <w:vAlign w:val="center"/>
          </w:tcPr>
          <w:p w14:paraId="6BD61C40">
            <w:pPr>
              <w:widowControl/>
              <w:jc w:val="left"/>
              <w:textAlignment w:val="center"/>
              <w:rPr>
                <w:rFonts w:hint="default" w:ascii="Times New Roman" w:hAnsi="Times New Roman" w:eastAsia="宋体" w:cs="Times New Roman"/>
                <w:b/>
                <w:bCs/>
                <w:color w:val="000000"/>
                <w:kern w:val="0"/>
                <w:sz w:val="18"/>
                <w:szCs w:val="18"/>
                <w:lang w:bidi="ar"/>
              </w:rPr>
            </w:pPr>
            <w:r>
              <w:rPr>
                <w:rFonts w:hint="default" w:ascii="Times New Roman" w:hAnsi="Times New Roman" w:eastAsia="宋体" w:cs="Times New Roman"/>
                <w:b/>
                <w:bCs/>
                <w:color w:val="000000"/>
                <w:kern w:val="0"/>
                <w:sz w:val="18"/>
                <w:szCs w:val="18"/>
                <w:lang w:bidi="ar"/>
              </w:rPr>
              <w:t>剩余募集资金④</w:t>
            </w:r>
          </w:p>
          <w:p w14:paraId="2716E09E">
            <w:pPr>
              <w:widowControl/>
              <w:jc w:val="left"/>
              <w:textAlignment w:val="center"/>
              <w:rPr>
                <w:rFonts w:hint="default" w:ascii="Times New Roman" w:hAnsi="Times New Roman" w:eastAsia="宋体" w:cs="Times New Roman"/>
                <w:b/>
                <w:bCs/>
                <w:color w:val="0000FF"/>
                <w:sz w:val="18"/>
                <w:szCs w:val="18"/>
                <w:lang w:val="en-US" w:eastAsia="zh-CN"/>
              </w:rPr>
            </w:pPr>
            <w:r>
              <w:rPr>
                <w:rFonts w:hint="default" w:ascii="Times New Roman" w:hAnsi="Times New Roman" w:eastAsia="宋体" w:cs="Times New Roman"/>
                <w:b/>
                <w:bCs/>
                <w:color w:val="000000"/>
                <w:kern w:val="0"/>
                <w:sz w:val="18"/>
                <w:szCs w:val="18"/>
                <w:lang w:bidi="ar"/>
              </w:rPr>
              <w:t>=①-②+③</w:t>
            </w:r>
          </w:p>
        </w:tc>
      </w:tr>
      <w:tr w14:paraId="2171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2435" w:type="dxa"/>
            <w:shd w:val="clear" w:color="auto" w:fill="DCDCDC"/>
            <w:noWrap w:val="0"/>
            <w:vAlign w:val="center"/>
          </w:tcPr>
          <w:p w14:paraId="11260219">
            <w:pPr>
              <w:widowControl/>
              <w:textAlignment w:val="center"/>
              <w:rPr>
                <w:rFonts w:hint="default"/>
                <w:color w:val="0000FF"/>
                <w:sz w:val="18"/>
                <w:szCs w:val="18"/>
              </w:rPr>
            </w:pPr>
            <w:r>
              <w:rPr>
                <w:rFonts w:hint="default" w:ascii="Times New Roman" w:hAnsi="Times New Roman" w:eastAsia="宋体" w:cs="Times New Roman"/>
                <w:color w:val="000000"/>
                <w:kern w:val="0"/>
                <w:sz w:val="18"/>
                <w:szCs w:val="18"/>
                <w:lang w:bidi="ar"/>
              </w:rPr>
              <w:t>项目六</w:t>
            </w:r>
          </w:p>
        </w:tc>
        <w:tc>
          <w:tcPr>
            <w:tcW w:w="1413" w:type="dxa"/>
            <w:noWrap w:val="0"/>
            <w:vAlign w:val="center"/>
          </w:tcPr>
          <w:p w14:paraId="77A1E7F5">
            <w:pPr>
              <w:widowControl/>
              <w:jc w:val="right"/>
              <w:textAlignment w:val="center"/>
              <w:rPr>
                <w:rFonts w:hint="default" w:ascii="Times New Roman" w:hAnsi="Times New Roman" w:eastAsia="宋体" w:cs="Times New Roman"/>
                <w:color w:val="0000FF"/>
                <w:sz w:val="18"/>
                <w:szCs w:val="18"/>
              </w:rPr>
            </w:pPr>
            <w:r>
              <w:rPr>
                <w:rFonts w:hint="default" w:ascii="Times New Roman" w:hAnsi="Times New Roman" w:eastAsia="宋体" w:cs="Times New Roman"/>
                <w:kern w:val="0"/>
                <w:sz w:val="18"/>
                <w:szCs w:val="18"/>
              </w:rPr>
              <w:t>37,142.60</w:t>
            </w:r>
          </w:p>
        </w:tc>
        <w:tc>
          <w:tcPr>
            <w:tcW w:w="1243" w:type="dxa"/>
            <w:noWrap w:val="0"/>
            <w:vAlign w:val="center"/>
          </w:tcPr>
          <w:p w14:paraId="456117CD">
            <w:pPr>
              <w:widowControl/>
              <w:jc w:val="right"/>
              <w:textAlignment w:val="center"/>
              <w:rPr>
                <w:rFonts w:hint="default" w:ascii="Times New Roman" w:hAnsi="Times New Roman" w:eastAsia="宋体" w:cs="Times New Roman"/>
                <w:color w:val="0000FF"/>
                <w:sz w:val="18"/>
                <w:szCs w:val="18"/>
              </w:rPr>
            </w:pPr>
            <w:r>
              <w:rPr>
                <w:rFonts w:hint="default" w:ascii="Times New Roman" w:hAnsi="Times New Roman" w:eastAsia="宋体" w:cs="Times New Roman"/>
                <w:color w:val="000000"/>
                <w:sz w:val="18"/>
                <w:szCs w:val="18"/>
              </w:rPr>
              <w:t>16,969.58</w:t>
            </w:r>
          </w:p>
        </w:tc>
        <w:tc>
          <w:tcPr>
            <w:tcW w:w="1789" w:type="dxa"/>
            <w:noWrap w:val="0"/>
            <w:vAlign w:val="center"/>
          </w:tcPr>
          <w:p w14:paraId="26409E21">
            <w:pPr>
              <w:widowControl/>
              <w:jc w:val="right"/>
              <w:textAlignment w:val="center"/>
              <w:rPr>
                <w:rFonts w:hint="default" w:ascii="Times New Roman" w:hAnsi="Times New Roman" w:eastAsia="宋体" w:cs="Times New Roman"/>
                <w:color w:val="0000FF"/>
                <w:sz w:val="18"/>
                <w:szCs w:val="18"/>
              </w:rPr>
            </w:pPr>
            <w:r>
              <w:rPr>
                <w:rFonts w:hint="default" w:ascii="Times New Roman" w:hAnsi="Times New Roman" w:eastAsia="宋体" w:cs="Times New Roman"/>
                <w:color w:val="000000"/>
                <w:sz w:val="18"/>
                <w:szCs w:val="18"/>
              </w:rPr>
              <w:t>5,047.81</w:t>
            </w:r>
          </w:p>
        </w:tc>
        <w:tc>
          <w:tcPr>
            <w:tcW w:w="1642" w:type="dxa"/>
            <w:noWrap w:val="0"/>
            <w:vAlign w:val="center"/>
          </w:tcPr>
          <w:p w14:paraId="0C0E8463">
            <w:pPr>
              <w:widowControl/>
              <w:jc w:val="right"/>
              <w:textAlignment w:val="center"/>
              <w:rPr>
                <w:rFonts w:hint="default" w:ascii="Times New Roman" w:hAnsi="Times New Roman" w:eastAsia="宋体" w:cs="Times New Roman"/>
                <w:color w:val="0000FF"/>
                <w:sz w:val="18"/>
                <w:szCs w:val="18"/>
              </w:rPr>
            </w:pPr>
            <w:r>
              <w:rPr>
                <w:rFonts w:hint="default" w:ascii="Times New Roman" w:hAnsi="Times New Roman" w:eastAsia="宋体" w:cs="Times New Roman"/>
                <w:color w:val="000000"/>
                <w:sz w:val="18"/>
                <w:szCs w:val="18"/>
              </w:rPr>
              <w:t>25,220.83</w:t>
            </w:r>
          </w:p>
        </w:tc>
      </w:tr>
    </w:tbl>
    <w:p w14:paraId="5FE44F96">
      <w:pPr>
        <w:adjustRightInd w:val="0"/>
        <w:snapToGrid w:val="0"/>
        <w:spacing w:before="156" w:beforeLines="50" w:line="360" w:lineRule="auto"/>
        <w:ind w:firstLine="482" w:firstLineChars="200"/>
        <w:rPr>
          <w:b/>
          <w:bCs/>
          <w:sz w:val="24"/>
          <w:szCs w:val="24"/>
        </w:rPr>
      </w:pPr>
      <w:r>
        <w:rPr>
          <w:rFonts w:hint="eastAsia"/>
          <w:b/>
          <w:bCs/>
          <w:sz w:val="24"/>
          <w:szCs w:val="24"/>
        </w:rPr>
        <w:t>三</w:t>
      </w:r>
      <w:r>
        <w:rPr>
          <w:b/>
          <w:bCs/>
          <w:sz w:val="24"/>
          <w:szCs w:val="24"/>
        </w:rPr>
        <w:t>、本次募集资金投资项目</w:t>
      </w:r>
      <w:r>
        <w:rPr>
          <w:rFonts w:hint="eastAsia"/>
          <w:b/>
          <w:bCs/>
          <w:sz w:val="24"/>
          <w:szCs w:val="24"/>
        </w:rPr>
        <w:t>调整情况及</w:t>
      </w:r>
      <w:r>
        <w:rPr>
          <w:b/>
          <w:bCs/>
          <w:sz w:val="24"/>
          <w:szCs w:val="24"/>
        </w:rPr>
        <w:t>节余</w:t>
      </w:r>
      <w:r>
        <w:rPr>
          <w:rFonts w:hint="eastAsia"/>
          <w:b/>
          <w:bCs/>
          <w:sz w:val="24"/>
          <w:szCs w:val="24"/>
        </w:rPr>
        <w:t>募集</w:t>
      </w:r>
      <w:r>
        <w:rPr>
          <w:b/>
          <w:bCs/>
          <w:sz w:val="24"/>
          <w:szCs w:val="24"/>
        </w:rPr>
        <w:t>资金使用计划</w:t>
      </w:r>
    </w:p>
    <w:p w14:paraId="2CAF01DC">
      <w:pPr>
        <w:adjustRightInd w:val="0"/>
        <w:snapToGrid w:val="0"/>
        <w:spacing w:line="360" w:lineRule="auto"/>
        <w:ind w:firstLine="480" w:firstLineChars="200"/>
        <w:rPr>
          <w:rFonts w:hint="eastAsia" w:ascii="宋体" w:hAnsi="宋体" w:cs="宋体"/>
          <w:sz w:val="24"/>
          <w:szCs w:val="24"/>
        </w:rPr>
      </w:pPr>
      <w:r>
        <w:rPr>
          <w:sz w:val="24"/>
          <w:szCs w:val="24"/>
        </w:rPr>
        <w:t>1.本</w:t>
      </w:r>
      <w:r>
        <w:rPr>
          <w:rFonts w:hint="eastAsia" w:ascii="宋体" w:hAnsi="宋体" w:cs="宋体"/>
          <w:sz w:val="24"/>
          <w:szCs w:val="24"/>
        </w:rPr>
        <w:t>次募集资金投资项目调整的主要原因</w:t>
      </w:r>
    </w:p>
    <w:p w14:paraId="239A53E7">
      <w:pPr>
        <w:adjustRightInd w:val="0"/>
        <w:snapToGrid w:val="0"/>
        <w:spacing w:line="360" w:lineRule="auto"/>
        <w:ind w:firstLine="480" w:firstLineChars="200"/>
        <w:rPr>
          <w:rFonts w:hint="eastAsia" w:ascii="宋体" w:hAnsi="宋体" w:cs="宋体"/>
          <w:sz w:val="24"/>
          <w:szCs w:val="24"/>
        </w:rPr>
      </w:pPr>
      <w:r>
        <w:rPr>
          <w:rFonts w:hint="eastAsia"/>
          <w:sz w:val="24"/>
          <w:szCs w:val="24"/>
        </w:rPr>
        <w:t>目前“项目六”——</w:t>
      </w:r>
      <w:r>
        <w:rPr>
          <w:rFonts w:hint="eastAsia"/>
          <w:bCs/>
          <w:sz w:val="24"/>
        </w:rPr>
        <w:t>“</w:t>
      </w:r>
      <w:r>
        <w:rPr>
          <w:bCs/>
          <w:sz w:val="24"/>
        </w:rPr>
        <w:t>10万吨高聚物材料新建项目</w:t>
      </w:r>
      <w:r>
        <w:rPr>
          <w:rFonts w:hint="eastAsia"/>
          <w:bCs/>
          <w:sz w:val="24"/>
        </w:rPr>
        <w:t>”</w:t>
      </w:r>
      <w:r>
        <w:rPr>
          <w:rFonts w:hint="eastAsia"/>
          <w:sz w:val="24"/>
          <w:szCs w:val="24"/>
        </w:rPr>
        <w:t>所处行业市场竞争激烈，线缆和光通信产品需求下降，新客户资源储备不足，减少新增产能和资金投入有利于控制项目投资风险，</w:t>
      </w:r>
      <w:r>
        <w:rPr>
          <w:rFonts w:hint="eastAsia" w:ascii="宋体" w:hAnsi="宋体" w:cs="宋体"/>
          <w:sz w:val="24"/>
          <w:szCs w:val="24"/>
        </w:rPr>
        <w:t>维护公司整体利益及全体股东利益，符合公司发展战略和实际情况。</w:t>
      </w:r>
    </w:p>
    <w:p w14:paraId="12E4C380">
      <w:pPr>
        <w:adjustRightInd w:val="0"/>
        <w:snapToGrid w:val="0"/>
        <w:spacing w:line="360" w:lineRule="auto"/>
        <w:ind w:firstLine="480" w:firstLineChars="200"/>
        <w:rPr>
          <w:sz w:val="24"/>
          <w:szCs w:val="24"/>
        </w:rPr>
      </w:pPr>
      <w:r>
        <w:rPr>
          <w:sz w:val="24"/>
          <w:szCs w:val="24"/>
        </w:rPr>
        <w:t>2</w:t>
      </w:r>
      <w:r>
        <w:rPr>
          <w:rFonts w:hint="eastAsia"/>
          <w:sz w:val="24"/>
          <w:szCs w:val="24"/>
        </w:rPr>
        <w:t>.</w:t>
      </w:r>
      <w:r>
        <w:rPr>
          <w:sz w:val="24"/>
          <w:szCs w:val="24"/>
        </w:rPr>
        <w:t>本次募集资金投资项目调整情况</w:t>
      </w:r>
    </w:p>
    <w:p w14:paraId="5C6778D6">
      <w:pPr>
        <w:adjustRightInd w:val="0"/>
        <w:snapToGrid w:val="0"/>
        <w:spacing w:line="360" w:lineRule="auto"/>
        <w:ind w:firstLine="480" w:firstLineChars="200"/>
        <w:rPr>
          <w:sz w:val="24"/>
          <w:szCs w:val="24"/>
        </w:rPr>
      </w:pPr>
      <w:r>
        <w:rPr>
          <w:rFonts w:hint="eastAsia"/>
          <w:sz w:val="24"/>
          <w:szCs w:val="24"/>
        </w:rPr>
        <w:t>“项目六”</w:t>
      </w:r>
      <w:r>
        <w:rPr>
          <w:rFonts w:hint="eastAsia"/>
          <w:bCs/>
          <w:sz w:val="24"/>
        </w:rPr>
        <w:t>产能由10万吨调整为6万吨，产品类型由PVC电缆料、POE电缆料、TPE弹性体、PC工程材料、TPO防水卷材料、可降解材料调整为PVC电缆料、POE电缆料、TPE弹性体、PC工程材料，募集资金项目投资额调整为25,293.09万元（待支付合同尾款</w:t>
      </w:r>
      <w:r>
        <w:rPr>
          <w:rFonts w:hint="eastAsia"/>
          <w:bCs/>
          <w:sz w:val="24"/>
          <w:lang w:val="en-US" w:eastAsia="zh-CN"/>
        </w:rPr>
        <w:t>等项目支出</w:t>
      </w:r>
      <w:r>
        <w:rPr>
          <w:rFonts w:hint="eastAsia"/>
          <w:bCs/>
          <w:sz w:val="24"/>
        </w:rPr>
        <w:t>金额为8,323.51万元）。</w:t>
      </w:r>
    </w:p>
    <w:p w14:paraId="0AA352DE">
      <w:pPr>
        <w:adjustRightInd w:val="0"/>
        <w:snapToGrid w:val="0"/>
        <w:spacing w:line="360" w:lineRule="auto"/>
        <w:ind w:firstLine="480" w:firstLineChars="200"/>
        <w:rPr>
          <w:rFonts w:hint="eastAsia"/>
          <w:sz w:val="24"/>
          <w:szCs w:val="24"/>
        </w:rPr>
      </w:pPr>
      <w:r>
        <w:rPr>
          <w:rFonts w:hint="eastAsia"/>
          <w:sz w:val="24"/>
          <w:szCs w:val="24"/>
        </w:rPr>
        <w:t>3.节余募集资金使用计划</w:t>
      </w:r>
    </w:p>
    <w:p w14:paraId="50EA2182">
      <w:pPr>
        <w:adjustRightInd w:val="0"/>
        <w:snapToGrid w:val="0"/>
        <w:spacing w:line="360" w:lineRule="auto"/>
        <w:ind w:firstLine="480" w:firstLineChars="200"/>
        <w:rPr>
          <w:sz w:val="24"/>
          <w:szCs w:val="24"/>
        </w:rPr>
      </w:pPr>
      <w:r>
        <w:rPr>
          <w:rFonts w:hint="eastAsia"/>
          <w:sz w:val="24"/>
          <w:szCs w:val="24"/>
        </w:rPr>
        <w:t>（1）节余原因</w:t>
      </w:r>
    </w:p>
    <w:p w14:paraId="61F6F7CA">
      <w:pPr>
        <w:adjustRightInd w:val="0"/>
        <w:snapToGrid w:val="0"/>
        <w:spacing w:line="360" w:lineRule="auto"/>
        <w:ind w:firstLine="480" w:firstLineChars="200"/>
        <w:rPr>
          <w:sz w:val="24"/>
          <w:szCs w:val="24"/>
        </w:rPr>
      </w:pPr>
      <w:r>
        <w:rPr>
          <w:rFonts w:hint="eastAsia"/>
          <w:sz w:val="24"/>
          <w:szCs w:val="24"/>
        </w:rPr>
        <w:t>在“项目六”募投项目实施过程中，公司严格按照募集资金管理的有关规定，本着合理、高效、节约的原则，从项目的实际需求出发，科学审慎地使用募集资金，在保证项目建设质量和控制风险的前提下，加强对项目费用的监督和管控，基于项目实际运营情况，公司减少了铺底流动资金的拨付；为提高募集资金的使用效率，在确保不影响募集资金投资项目建设和募集资金安全的前提下，公司使用部分暂时闲置募集资金进行了现金管理，产生了一定的利息收入和理财收益；</w:t>
      </w:r>
      <w:r>
        <w:rPr>
          <w:rFonts w:hint="eastAsia"/>
          <w:bCs/>
          <w:sz w:val="24"/>
        </w:rPr>
        <w:t>因市场环境变化和现阶段经营发展需要，减少了部分产能和投入。</w:t>
      </w:r>
    </w:p>
    <w:p w14:paraId="094EDDAC">
      <w:pPr>
        <w:adjustRightInd w:val="0"/>
        <w:snapToGrid w:val="0"/>
        <w:spacing w:line="360" w:lineRule="auto"/>
        <w:ind w:firstLine="480" w:firstLineChars="200"/>
        <w:rPr>
          <w:rFonts w:hint="eastAsia"/>
          <w:sz w:val="24"/>
          <w:szCs w:val="24"/>
        </w:rPr>
      </w:pPr>
      <w:r>
        <w:rPr>
          <w:rFonts w:hint="eastAsia"/>
          <w:sz w:val="24"/>
          <w:szCs w:val="24"/>
        </w:rPr>
        <w:t>（2）节余募集资金使用计划</w:t>
      </w:r>
    </w:p>
    <w:p w14:paraId="10926BE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为提高资金使用效率，公司拟将</w:t>
      </w:r>
      <w:r>
        <w:rPr>
          <w:rFonts w:hint="eastAsia"/>
          <w:sz w:val="24"/>
          <w:szCs w:val="24"/>
          <w:lang w:eastAsia="zh-CN"/>
        </w:rPr>
        <w:t>剩余</w:t>
      </w:r>
      <w:r>
        <w:rPr>
          <w:rFonts w:hint="eastAsia" w:ascii="宋体" w:hAnsi="宋体" w:cs="宋体"/>
          <w:sz w:val="24"/>
          <w:szCs w:val="24"/>
        </w:rPr>
        <w:t>募集资金</w:t>
      </w:r>
      <w:r>
        <w:rPr>
          <w:sz w:val="24"/>
          <w:szCs w:val="24"/>
        </w:rPr>
        <w:t>25,220.83万元（</w:t>
      </w:r>
      <w:r>
        <w:rPr>
          <w:rFonts w:hint="eastAsia" w:ascii="宋体" w:hAnsi="宋体" w:cs="宋体"/>
          <w:sz w:val="24"/>
          <w:szCs w:val="24"/>
        </w:rPr>
        <w:t>含利息收入，实际转出金额以转出当日专户余额为准）永久补充流动资金，用于支付募集资金项</w:t>
      </w:r>
      <w:r>
        <w:rPr>
          <w:sz w:val="24"/>
          <w:szCs w:val="24"/>
        </w:rPr>
        <w:t>目合同尾款</w:t>
      </w:r>
      <w:r>
        <w:rPr>
          <w:rFonts w:hint="eastAsia"/>
          <w:bCs/>
          <w:sz w:val="24"/>
          <w:lang w:val="en-US" w:eastAsia="zh-CN"/>
        </w:rPr>
        <w:t>等项目支出</w:t>
      </w:r>
      <w:r>
        <w:rPr>
          <w:rFonts w:hint="eastAsia"/>
          <w:sz w:val="24"/>
          <w:szCs w:val="24"/>
        </w:rPr>
        <w:t>8,323.51</w:t>
      </w:r>
      <w:r>
        <w:rPr>
          <w:sz w:val="24"/>
          <w:szCs w:val="24"/>
        </w:rPr>
        <w:t>万元</w:t>
      </w:r>
      <w:r>
        <w:rPr>
          <w:rFonts w:hint="eastAsia"/>
          <w:sz w:val="24"/>
          <w:szCs w:val="24"/>
        </w:rPr>
        <w:t>，其余部分用于</w:t>
      </w:r>
      <w:r>
        <w:rPr>
          <w:rFonts w:hint="eastAsia" w:ascii="宋体" w:hAnsi="宋体" w:cs="宋体"/>
          <w:sz w:val="24"/>
          <w:szCs w:val="24"/>
        </w:rPr>
        <w:t>公司日常生产经营。</w:t>
      </w:r>
      <w:r>
        <w:rPr>
          <w:rFonts w:hint="eastAsia"/>
          <w:sz w:val="24"/>
          <w:szCs w:val="24"/>
        </w:rPr>
        <w:t>剩余</w:t>
      </w:r>
      <w:r>
        <w:rPr>
          <w:rFonts w:hint="eastAsia" w:ascii="宋体" w:hAnsi="宋体" w:cs="宋体"/>
          <w:sz w:val="24"/>
          <w:szCs w:val="24"/>
        </w:rPr>
        <w:t>募集资金转出后，公司将办理销户手续，注销相关募集资金账户，公司就该项目相关募集资金存储签署的募集资金专户监管协议随之终止。</w:t>
      </w:r>
    </w:p>
    <w:p w14:paraId="2DE51F37">
      <w:pPr>
        <w:adjustRightInd w:val="0"/>
        <w:snapToGrid w:val="0"/>
        <w:spacing w:before="0" w:beforeLines="0" w:after="0" w:afterLines="0" w:line="360" w:lineRule="auto"/>
        <w:ind w:firstLine="480" w:firstLineChars="200"/>
        <w:outlineLvl w:val="9"/>
        <w:rPr>
          <w:rFonts w:hint="eastAsia"/>
          <w:b w:val="0"/>
          <w:color w:val="auto"/>
          <w:sz w:val="24"/>
          <w:szCs w:val="24"/>
        </w:rPr>
      </w:pPr>
      <w:r>
        <w:rPr>
          <w:rFonts w:hint="eastAsia"/>
          <w:b w:val="0"/>
          <w:color w:val="auto"/>
          <w:sz w:val="24"/>
          <w:szCs w:val="24"/>
        </w:rPr>
        <w:t>4</w:t>
      </w:r>
      <w:r>
        <w:rPr>
          <w:rFonts w:hint="eastAsia"/>
          <w:sz w:val="24"/>
          <w:szCs w:val="24"/>
        </w:rPr>
        <w:t>.</w:t>
      </w:r>
      <w:r>
        <w:rPr>
          <w:rFonts w:hint="eastAsia"/>
          <w:b w:val="0"/>
          <w:color w:val="auto"/>
          <w:sz w:val="24"/>
          <w:szCs w:val="24"/>
        </w:rPr>
        <w:t>节余募集资金永久性补充流动资金对公司的影响</w:t>
      </w:r>
    </w:p>
    <w:p w14:paraId="4DC8761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auto"/>
          <w:sz w:val="24"/>
          <w:szCs w:val="24"/>
        </w:rPr>
        <w:t>公司使用</w:t>
      </w:r>
      <w:r>
        <w:rPr>
          <w:rFonts w:hint="eastAsia" w:ascii="宋体" w:hAnsi="宋体" w:cs="宋体"/>
          <w:color w:val="auto"/>
          <w:sz w:val="24"/>
          <w:szCs w:val="24"/>
          <w:lang w:eastAsia="zh-CN"/>
        </w:rPr>
        <w:t>剩余</w:t>
      </w:r>
      <w:r>
        <w:rPr>
          <w:rFonts w:hint="eastAsia" w:ascii="宋体" w:hAnsi="宋体" w:cs="宋体"/>
          <w:color w:val="auto"/>
          <w:sz w:val="24"/>
          <w:szCs w:val="24"/>
        </w:rPr>
        <w:t>募集资金永久性补充流动资金，有助于合理资源配置，有利于提高募集资金的使用效率，维护了公司整体利益及全体股东尤其是中小股东的利益，不存在损害公司和中小股东合法利益的情况，符合公司发展战略和实际情况，未违反中国证监会、深圳证券交易所关于上市公司募集资金使用的有关规定。</w:t>
      </w:r>
    </w:p>
    <w:p w14:paraId="53067A95">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四、相关审批程序</w:t>
      </w:r>
    </w:p>
    <w:p w14:paraId="4511DB42">
      <w:pPr>
        <w:adjustRightInd w:val="0"/>
        <w:snapToGrid w:val="0"/>
        <w:spacing w:line="360" w:lineRule="auto"/>
        <w:ind w:firstLine="480" w:firstLineChars="200"/>
        <w:rPr>
          <w:sz w:val="24"/>
          <w:szCs w:val="24"/>
        </w:rPr>
      </w:pPr>
      <w:r>
        <w:rPr>
          <w:sz w:val="24"/>
          <w:szCs w:val="24"/>
        </w:rPr>
        <w:t>1.董事会审议情况</w:t>
      </w:r>
    </w:p>
    <w:p w14:paraId="3E8012B0">
      <w:pPr>
        <w:adjustRightInd w:val="0"/>
        <w:snapToGrid w:val="0"/>
        <w:spacing w:line="360" w:lineRule="auto"/>
        <w:ind w:firstLine="480" w:firstLineChars="200"/>
        <w:rPr>
          <w:sz w:val="24"/>
          <w:szCs w:val="24"/>
        </w:rPr>
      </w:pPr>
      <w:r>
        <w:rPr>
          <w:rFonts w:hint="eastAsia"/>
          <w:bCs/>
          <w:sz w:val="24"/>
        </w:rPr>
        <w:t>公司于</w:t>
      </w:r>
      <w:r>
        <w:rPr>
          <w:bCs/>
          <w:sz w:val="24"/>
        </w:rPr>
        <w:t>2024年1</w:t>
      </w:r>
      <w:r>
        <w:rPr>
          <w:rFonts w:hint="eastAsia"/>
          <w:bCs/>
          <w:sz w:val="24"/>
          <w:lang w:val="en-US" w:eastAsia="zh-CN"/>
        </w:rPr>
        <w:t>1</w:t>
      </w:r>
      <w:r>
        <w:rPr>
          <w:bCs/>
          <w:sz w:val="24"/>
        </w:rPr>
        <w:t>月</w:t>
      </w:r>
      <w:r>
        <w:rPr>
          <w:rFonts w:hint="eastAsia"/>
          <w:bCs/>
          <w:sz w:val="24"/>
          <w:lang w:val="en-US" w:eastAsia="zh-CN"/>
        </w:rPr>
        <w:t>1</w:t>
      </w:r>
      <w:r>
        <w:rPr>
          <w:rFonts w:hint="eastAsia"/>
          <w:bCs/>
          <w:sz w:val="24"/>
          <w:lang w:val="en-US" w:eastAsia="zh-CN"/>
        </w:rPr>
        <w:t>5</w:t>
      </w:r>
      <w:r>
        <w:rPr>
          <w:bCs/>
          <w:sz w:val="24"/>
        </w:rPr>
        <w:t>日召开</w:t>
      </w:r>
      <w:r>
        <w:rPr>
          <w:rFonts w:hint="eastAsia"/>
          <w:bCs/>
          <w:sz w:val="24"/>
        </w:rPr>
        <w:t>的</w:t>
      </w:r>
      <w:r>
        <w:rPr>
          <w:bCs/>
          <w:sz w:val="24"/>
        </w:rPr>
        <w:t>第</w:t>
      </w:r>
      <w:r>
        <w:rPr>
          <w:rFonts w:hint="eastAsia"/>
          <w:bCs/>
          <w:sz w:val="24"/>
        </w:rPr>
        <w:t>十</w:t>
      </w:r>
      <w:r>
        <w:rPr>
          <w:bCs/>
          <w:sz w:val="24"/>
        </w:rPr>
        <w:t>届董事会第</w:t>
      </w:r>
      <w:r>
        <w:rPr>
          <w:rFonts w:hint="eastAsia"/>
          <w:bCs/>
          <w:sz w:val="24"/>
        </w:rPr>
        <w:t>二十</w:t>
      </w:r>
      <w:r>
        <w:rPr>
          <w:rFonts w:hint="eastAsia"/>
          <w:bCs/>
          <w:sz w:val="24"/>
          <w:lang w:val="en-US" w:eastAsia="zh-CN"/>
        </w:rPr>
        <w:t>一</w:t>
      </w:r>
      <w:r>
        <w:rPr>
          <w:bCs/>
          <w:sz w:val="24"/>
        </w:rPr>
        <w:t>次会议审议通过了《</w:t>
      </w:r>
      <w:r>
        <w:rPr>
          <w:rFonts w:hint="eastAsia"/>
          <w:bCs/>
          <w:sz w:val="24"/>
        </w:rPr>
        <w:t>关于募集资金投资项目结项并将节余募集资金永久补充流动资金的议案</w:t>
      </w:r>
      <w:r>
        <w:rPr>
          <w:bCs/>
          <w:sz w:val="24"/>
        </w:rPr>
        <w:t>》</w:t>
      </w:r>
      <w:r>
        <w:rPr>
          <w:rFonts w:hint="eastAsia"/>
          <w:bCs/>
          <w:sz w:val="24"/>
        </w:rPr>
        <w:t>，</w:t>
      </w:r>
      <w:r>
        <w:rPr>
          <w:bCs/>
          <w:sz w:val="24"/>
        </w:rPr>
        <w:t>募集资金投资项目</w:t>
      </w:r>
      <w:r>
        <w:rPr>
          <w:rFonts w:hint="eastAsia"/>
          <w:bCs/>
          <w:sz w:val="24"/>
        </w:rPr>
        <w:t>“</w:t>
      </w:r>
      <w:r>
        <w:rPr>
          <w:bCs/>
          <w:sz w:val="24"/>
        </w:rPr>
        <w:t>10万吨高聚物材料新建项目</w:t>
      </w:r>
      <w:r>
        <w:rPr>
          <w:rFonts w:hint="eastAsia"/>
          <w:bCs/>
          <w:sz w:val="24"/>
        </w:rPr>
        <w:t>”产能由10万吨调整为6万吨，募集资金项目投资额调整为25,293.09万元（待支付合同尾款</w:t>
      </w:r>
      <w:r>
        <w:rPr>
          <w:rFonts w:hint="eastAsia"/>
          <w:bCs/>
          <w:sz w:val="24"/>
          <w:lang w:val="en-US" w:eastAsia="zh-CN"/>
        </w:rPr>
        <w:t>等项目支出</w:t>
      </w:r>
      <w:r>
        <w:rPr>
          <w:rFonts w:hint="eastAsia"/>
          <w:sz w:val="24"/>
          <w:szCs w:val="24"/>
        </w:rPr>
        <w:t>8,323.51</w:t>
      </w:r>
      <w:r>
        <w:rPr>
          <w:sz w:val="24"/>
          <w:szCs w:val="24"/>
        </w:rPr>
        <w:t>万元</w:t>
      </w:r>
      <w:r>
        <w:rPr>
          <w:rFonts w:hint="eastAsia"/>
          <w:bCs/>
          <w:sz w:val="24"/>
        </w:rPr>
        <w:t>），剩余募集资金25,220.83</w:t>
      </w:r>
      <w:r>
        <w:rPr>
          <w:rFonts w:hint="eastAsia" w:ascii="宋体" w:hAnsi="宋体" w:cs="宋体"/>
          <w:bCs/>
          <w:sz w:val="24"/>
        </w:rPr>
        <w:t>万元（以实际转出时金额为准）将</w:t>
      </w:r>
      <w:r>
        <w:rPr>
          <w:rFonts w:hint="eastAsia"/>
          <w:bCs/>
          <w:sz w:val="24"/>
        </w:rPr>
        <w:t>永久补充流动资金。</w:t>
      </w:r>
      <w:r>
        <w:rPr>
          <w:sz w:val="24"/>
          <w:szCs w:val="24"/>
        </w:rPr>
        <w:t>在</w:t>
      </w:r>
      <w:r>
        <w:rPr>
          <w:rFonts w:hint="eastAsia"/>
          <w:sz w:val="24"/>
          <w:szCs w:val="24"/>
        </w:rPr>
        <w:t>剩余</w:t>
      </w:r>
      <w:r>
        <w:rPr>
          <w:sz w:val="24"/>
          <w:szCs w:val="24"/>
        </w:rPr>
        <w:t>募集资金补充流动资金后，</w:t>
      </w:r>
      <w:r>
        <w:rPr>
          <w:rFonts w:hint="eastAsia"/>
          <w:sz w:val="24"/>
          <w:szCs w:val="24"/>
        </w:rPr>
        <w:t>公司</w:t>
      </w:r>
      <w:r>
        <w:rPr>
          <w:sz w:val="24"/>
          <w:szCs w:val="24"/>
        </w:rPr>
        <w:t>将</w:t>
      </w:r>
      <w:r>
        <w:rPr>
          <w:rFonts w:hint="eastAsia"/>
          <w:sz w:val="24"/>
          <w:szCs w:val="24"/>
        </w:rPr>
        <w:t>对</w:t>
      </w:r>
      <w:r>
        <w:rPr>
          <w:sz w:val="24"/>
          <w:szCs w:val="24"/>
        </w:rPr>
        <w:t>相应的</w:t>
      </w:r>
      <w:r>
        <w:rPr>
          <w:rFonts w:hint="eastAsia"/>
          <w:sz w:val="24"/>
          <w:szCs w:val="24"/>
        </w:rPr>
        <w:t>3</w:t>
      </w:r>
      <w:r>
        <w:rPr>
          <w:sz w:val="24"/>
          <w:szCs w:val="24"/>
        </w:rPr>
        <w:t>个募集资金专户办理注销，</w:t>
      </w:r>
      <w:r>
        <w:rPr>
          <w:rFonts w:hint="eastAsia"/>
          <w:sz w:val="24"/>
          <w:szCs w:val="24"/>
        </w:rPr>
        <w:t>相关</w:t>
      </w:r>
      <w:r>
        <w:rPr>
          <w:sz w:val="24"/>
          <w:szCs w:val="24"/>
        </w:rPr>
        <w:t>账户《募集资金三方监管协议》一并终止。</w:t>
      </w:r>
      <w:r>
        <w:rPr>
          <w:rFonts w:hint="eastAsia"/>
          <w:sz w:val="24"/>
          <w:szCs w:val="24"/>
        </w:rPr>
        <w:t>本议案需提交股东会审议。</w:t>
      </w:r>
    </w:p>
    <w:p w14:paraId="0B0C40A1">
      <w:pPr>
        <w:adjustRightInd w:val="0"/>
        <w:snapToGrid w:val="0"/>
        <w:spacing w:line="360" w:lineRule="auto"/>
        <w:ind w:firstLine="480" w:firstLineChars="200"/>
        <w:rPr>
          <w:sz w:val="24"/>
          <w:szCs w:val="24"/>
        </w:rPr>
      </w:pPr>
      <w:r>
        <w:rPr>
          <w:sz w:val="24"/>
          <w:szCs w:val="24"/>
        </w:rPr>
        <w:t>2.监事会审议情况</w:t>
      </w:r>
    </w:p>
    <w:p w14:paraId="21D0130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公司于</w:t>
      </w:r>
      <w:r>
        <w:rPr>
          <w:sz w:val="24"/>
          <w:szCs w:val="24"/>
        </w:rPr>
        <w:t>2024年1</w:t>
      </w:r>
      <w:r>
        <w:rPr>
          <w:rFonts w:hint="eastAsia"/>
          <w:sz w:val="24"/>
          <w:szCs w:val="24"/>
          <w:lang w:val="en-US" w:eastAsia="zh-CN"/>
        </w:rPr>
        <w:t>1</w:t>
      </w:r>
      <w:r>
        <w:rPr>
          <w:sz w:val="24"/>
          <w:szCs w:val="24"/>
        </w:rPr>
        <w:t>月</w:t>
      </w:r>
      <w:r>
        <w:rPr>
          <w:rFonts w:hint="eastAsia"/>
          <w:sz w:val="24"/>
          <w:szCs w:val="24"/>
          <w:lang w:val="en-US" w:eastAsia="zh-CN"/>
        </w:rPr>
        <w:t>15</w:t>
      </w:r>
      <w:r>
        <w:rPr>
          <w:sz w:val="24"/>
          <w:szCs w:val="24"/>
        </w:rPr>
        <w:t>日召开的第十届监事会</w:t>
      </w:r>
      <w:r>
        <w:rPr>
          <w:rFonts w:hint="eastAsia" w:ascii="宋体" w:hAnsi="宋体" w:cs="宋体"/>
          <w:sz w:val="24"/>
          <w:szCs w:val="24"/>
        </w:rPr>
        <w:t>第十</w:t>
      </w:r>
      <w:r>
        <w:rPr>
          <w:rFonts w:hint="eastAsia" w:ascii="宋体" w:hAnsi="宋体" w:cs="宋体"/>
          <w:sz w:val="24"/>
          <w:szCs w:val="24"/>
          <w:lang w:val="en-US" w:eastAsia="zh-CN"/>
        </w:rPr>
        <w:t>二</w:t>
      </w:r>
      <w:r>
        <w:rPr>
          <w:rFonts w:hint="eastAsia" w:ascii="宋体" w:hAnsi="宋体" w:cs="宋体"/>
          <w:sz w:val="24"/>
          <w:szCs w:val="24"/>
        </w:rPr>
        <w:t>次会议审议通过了《</w:t>
      </w:r>
      <w:r>
        <w:rPr>
          <w:rFonts w:hint="eastAsia"/>
          <w:bCs/>
          <w:sz w:val="24"/>
        </w:rPr>
        <w:t>关于募集资金投资项目结项并将节余募集资金永久补充流动资金的议案</w:t>
      </w:r>
      <w:r>
        <w:rPr>
          <w:rFonts w:hint="eastAsia" w:ascii="宋体" w:hAnsi="宋体" w:cs="宋体"/>
          <w:sz w:val="24"/>
          <w:szCs w:val="24"/>
        </w:rPr>
        <w:t>》，监事会认为：公司决定部分募集资金投资项目未完成部分不再实施，并将</w:t>
      </w:r>
      <w:r>
        <w:rPr>
          <w:rFonts w:hint="eastAsia"/>
          <w:sz w:val="24"/>
          <w:szCs w:val="24"/>
          <w:lang w:eastAsia="zh-CN"/>
        </w:rPr>
        <w:t>剩余</w:t>
      </w:r>
      <w:r>
        <w:rPr>
          <w:rFonts w:hint="eastAsia" w:ascii="宋体" w:hAnsi="宋体" w:cs="宋体"/>
          <w:sz w:val="24"/>
          <w:szCs w:val="24"/>
        </w:rPr>
        <w:t>募集资金用于永久补充流动资金有利于控制投资风险，提高募集资金的使用效率，维护了公司整体利益及全体股东尤其是中小股东的利益，不存在损害公司和中小股东合法利益的情况，符合公司发展战略和实际情况。本次事项的决策程序符合中国证监会、深圳证券交易所关于上市公司募集资金使用的相关法律、法规及《公司章程》《募集资金使用管理制度》的规定，我们同意《</w:t>
      </w:r>
      <w:r>
        <w:rPr>
          <w:bCs/>
          <w:sz w:val="24"/>
        </w:rPr>
        <w:t>关于募集资金投资项目结项并将</w:t>
      </w:r>
      <w:r>
        <w:rPr>
          <w:rFonts w:hint="eastAsia"/>
          <w:sz w:val="24"/>
          <w:szCs w:val="24"/>
          <w:lang w:eastAsia="zh-CN"/>
        </w:rPr>
        <w:t>节余</w:t>
      </w:r>
      <w:r>
        <w:rPr>
          <w:bCs/>
          <w:sz w:val="24"/>
        </w:rPr>
        <w:t>募集资金永久补充流动资金</w:t>
      </w:r>
      <w:r>
        <w:rPr>
          <w:rFonts w:hint="eastAsia"/>
          <w:bCs/>
          <w:sz w:val="24"/>
        </w:rPr>
        <w:t>的议案</w:t>
      </w:r>
      <w:r>
        <w:rPr>
          <w:rFonts w:hint="eastAsia" w:ascii="宋体" w:hAnsi="宋体" w:cs="宋体"/>
          <w:sz w:val="24"/>
          <w:szCs w:val="24"/>
        </w:rPr>
        <w:t>》，并同意该议案提交股东会审议。</w:t>
      </w:r>
    </w:p>
    <w:p w14:paraId="3AD17B55">
      <w:pPr>
        <w:adjustRightInd w:val="0"/>
        <w:snapToGrid w:val="0"/>
        <w:spacing w:line="360" w:lineRule="auto"/>
        <w:ind w:firstLine="480" w:firstLineChars="200"/>
        <w:rPr>
          <w:sz w:val="24"/>
          <w:szCs w:val="24"/>
        </w:rPr>
      </w:pPr>
      <w:r>
        <w:rPr>
          <w:sz w:val="24"/>
          <w:szCs w:val="24"/>
        </w:rPr>
        <w:t>3.财务顾问核查意见</w:t>
      </w:r>
    </w:p>
    <w:p w14:paraId="3EE00519">
      <w:pPr>
        <w:adjustRightInd w:val="0"/>
        <w:snapToGrid w:val="0"/>
        <w:spacing w:line="360" w:lineRule="auto"/>
        <w:ind w:firstLine="480" w:firstLineChars="200"/>
        <w:rPr>
          <w:rFonts w:hint="eastAsia" w:ascii="宋体" w:hAnsi="宋体" w:cs="宋体"/>
          <w:b w:val="0"/>
          <w:sz w:val="24"/>
          <w:szCs w:val="24"/>
        </w:rPr>
      </w:pPr>
      <w:r>
        <w:rPr>
          <w:rFonts w:hint="eastAsia" w:ascii="宋体" w:hAnsi="宋体" w:cs="宋体"/>
          <w:b w:val="0"/>
          <w:sz w:val="24"/>
          <w:szCs w:val="24"/>
        </w:rPr>
        <w:t>中广核核技术发展股份有限公司本次募集资金投资项目结项并将节余募集资金永久补充流动资金已经公司第十届董事会第二十一次会议和第十届监事会第十二次会议审议通过，尚需提交股东会审议。公司本次募集资金投资项目结项并</w:t>
      </w:r>
      <w:r>
        <w:rPr>
          <w:rFonts w:hint="eastAsia" w:ascii="宋体" w:hAnsi="宋体" w:cs="宋体"/>
          <w:b w:val="0"/>
          <w:sz w:val="24"/>
          <w:szCs w:val="24"/>
          <w:lang w:val="en-US" w:eastAsia="zh-CN"/>
        </w:rPr>
        <w:t>将</w:t>
      </w:r>
      <w:r>
        <w:rPr>
          <w:rFonts w:hint="eastAsia" w:ascii="宋体" w:hAnsi="宋体" w:cs="宋体"/>
          <w:b w:val="0"/>
          <w:sz w:val="24"/>
          <w:szCs w:val="24"/>
        </w:rPr>
        <w:t>节余募集资金永久补充流动资金符合《深圳证券交易所股票上市规则》《深圳证券交易所上市公司自律监管指引第1号——主板上市公司规范运作》《上市公司监管指引第2号——上市公司募集资金管理和使用的监管要求》等相关法律法规。本次募集资金投资项目结项并将剩余募集资金永久补充流动资金，有助于合理资源配置，有利于提高募集资金的使用效率，维护了公司整体利益及全体股东尤其是中小股东的利益，不存在损害公司和中小股东合法利益的情况。</w:t>
      </w:r>
    </w:p>
    <w:p w14:paraId="450E4082">
      <w:pPr>
        <w:pStyle w:val="17"/>
        <w:adjustRightInd w:val="0"/>
        <w:snapToGrid w:val="0"/>
        <w:spacing w:line="360" w:lineRule="auto"/>
        <w:ind w:firstLine="482"/>
        <w:outlineLvl w:val="0"/>
        <w:rPr>
          <w:rFonts w:hint="eastAsia"/>
          <w:b/>
          <w:sz w:val="24"/>
        </w:rPr>
      </w:pPr>
      <w:r>
        <w:rPr>
          <w:rFonts w:hint="eastAsia" w:ascii="宋体" w:hAnsi="宋体" w:cs="宋体"/>
          <w:b w:val="0"/>
          <w:sz w:val="24"/>
          <w:szCs w:val="24"/>
        </w:rPr>
        <w:t>综上，独立财务顾问对公司本次募集资金投资项目结项并将节余募集资金永久补充流动资金无异议。</w:t>
      </w:r>
    </w:p>
    <w:p w14:paraId="4BE17C60">
      <w:pPr>
        <w:pStyle w:val="17"/>
        <w:adjustRightInd w:val="0"/>
        <w:snapToGrid w:val="0"/>
        <w:spacing w:line="360" w:lineRule="auto"/>
        <w:ind w:firstLine="482"/>
        <w:outlineLvl w:val="0"/>
        <w:rPr>
          <w:b/>
          <w:sz w:val="24"/>
        </w:rPr>
      </w:pPr>
      <w:r>
        <w:rPr>
          <w:rFonts w:hint="eastAsia"/>
          <w:b/>
          <w:sz w:val="24"/>
        </w:rPr>
        <w:t>五</w:t>
      </w:r>
      <w:r>
        <w:rPr>
          <w:b/>
          <w:sz w:val="24"/>
        </w:rPr>
        <w:t>、备查文件</w:t>
      </w:r>
    </w:p>
    <w:p w14:paraId="113D2377">
      <w:pPr>
        <w:adjustRightInd w:val="0"/>
        <w:snapToGrid w:val="0"/>
        <w:spacing w:line="360" w:lineRule="auto"/>
        <w:ind w:firstLine="480" w:firstLineChars="200"/>
        <w:rPr>
          <w:sz w:val="24"/>
        </w:rPr>
      </w:pPr>
      <w:r>
        <w:rPr>
          <w:rFonts w:hint="eastAsia"/>
          <w:sz w:val="24"/>
        </w:rPr>
        <w:t>1.</w:t>
      </w:r>
      <w:r>
        <w:rPr>
          <w:bCs/>
          <w:sz w:val="24"/>
        </w:rPr>
        <w:t>第</w:t>
      </w:r>
      <w:r>
        <w:rPr>
          <w:rFonts w:hint="eastAsia"/>
          <w:bCs/>
          <w:sz w:val="24"/>
        </w:rPr>
        <w:t>十</w:t>
      </w:r>
      <w:r>
        <w:rPr>
          <w:bCs/>
          <w:sz w:val="24"/>
        </w:rPr>
        <w:t>届董事会第</w:t>
      </w:r>
      <w:r>
        <w:rPr>
          <w:rFonts w:hint="eastAsia"/>
          <w:bCs/>
          <w:sz w:val="24"/>
        </w:rPr>
        <w:t>二十</w:t>
      </w:r>
      <w:r>
        <w:rPr>
          <w:rFonts w:hint="eastAsia"/>
          <w:bCs/>
          <w:sz w:val="24"/>
          <w:lang w:val="en-US" w:eastAsia="zh-CN"/>
        </w:rPr>
        <w:t>一</w:t>
      </w:r>
      <w:r>
        <w:rPr>
          <w:bCs/>
          <w:sz w:val="24"/>
        </w:rPr>
        <w:t>次会议</w:t>
      </w:r>
      <w:r>
        <w:rPr>
          <w:sz w:val="24"/>
        </w:rPr>
        <w:t>决议；</w:t>
      </w:r>
    </w:p>
    <w:p w14:paraId="2AF586EE">
      <w:pPr>
        <w:adjustRightInd w:val="0"/>
        <w:snapToGrid w:val="0"/>
        <w:spacing w:line="360" w:lineRule="auto"/>
        <w:ind w:firstLine="480" w:firstLineChars="200"/>
        <w:rPr>
          <w:sz w:val="24"/>
        </w:rPr>
      </w:pPr>
      <w:r>
        <w:rPr>
          <w:rFonts w:hint="eastAsia"/>
          <w:sz w:val="24"/>
        </w:rPr>
        <w:t>2.</w:t>
      </w:r>
      <w:r>
        <w:rPr>
          <w:bCs/>
          <w:sz w:val="24"/>
        </w:rPr>
        <w:t>第</w:t>
      </w:r>
      <w:r>
        <w:rPr>
          <w:rFonts w:hint="eastAsia"/>
          <w:bCs/>
          <w:sz w:val="24"/>
        </w:rPr>
        <w:t>十</w:t>
      </w:r>
      <w:r>
        <w:rPr>
          <w:bCs/>
          <w:sz w:val="24"/>
        </w:rPr>
        <w:t>届监事会第十</w:t>
      </w:r>
      <w:r>
        <w:rPr>
          <w:rFonts w:hint="eastAsia"/>
          <w:bCs/>
          <w:sz w:val="24"/>
          <w:lang w:val="en-US" w:eastAsia="zh-CN"/>
        </w:rPr>
        <w:t>二</w:t>
      </w:r>
      <w:r>
        <w:rPr>
          <w:bCs/>
          <w:sz w:val="24"/>
        </w:rPr>
        <w:t>次会议</w:t>
      </w:r>
      <w:r>
        <w:rPr>
          <w:sz w:val="24"/>
        </w:rPr>
        <w:t>决议；</w:t>
      </w:r>
    </w:p>
    <w:p w14:paraId="31022465">
      <w:pPr>
        <w:pStyle w:val="17"/>
        <w:adjustRightInd w:val="0"/>
        <w:snapToGrid w:val="0"/>
        <w:spacing w:line="360" w:lineRule="auto"/>
        <w:ind w:firstLine="480"/>
        <w:outlineLvl w:val="0"/>
        <w:rPr>
          <w:b w:val="0"/>
          <w:bCs w:val="0"/>
          <w:sz w:val="24"/>
        </w:rPr>
      </w:pPr>
      <w:r>
        <w:rPr>
          <w:rFonts w:hint="eastAsia"/>
          <w:b w:val="0"/>
          <w:bCs w:val="0"/>
          <w:sz w:val="24"/>
        </w:rPr>
        <w:t>3.</w:t>
      </w:r>
      <w:r>
        <w:rPr>
          <w:rFonts w:hint="eastAsia" w:ascii="宋体" w:hAnsi="宋体" w:cs="宋体"/>
          <w:b w:val="0"/>
          <w:bCs w:val="0"/>
          <w:sz w:val="24"/>
        </w:rPr>
        <w:t>中德证券有限责任公司关于中广核核技术发展股份有限公司募集资金投资项目结项并将</w:t>
      </w:r>
      <w:r>
        <w:rPr>
          <w:rFonts w:hint="eastAsia" w:ascii="宋体" w:hAnsi="宋体" w:cs="宋体"/>
          <w:b w:val="0"/>
          <w:bCs w:val="0"/>
          <w:sz w:val="24"/>
          <w:lang w:eastAsia="zh-CN"/>
        </w:rPr>
        <w:t>节余</w:t>
      </w:r>
      <w:r>
        <w:rPr>
          <w:rFonts w:hint="eastAsia" w:ascii="宋体" w:hAnsi="宋体" w:cs="宋体"/>
          <w:b w:val="0"/>
          <w:bCs w:val="0"/>
          <w:sz w:val="24"/>
        </w:rPr>
        <w:t>募集资金永久补充流动资金的核查意见</w:t>
      </w:r>
      <w:r>
        <w:rPr>
          <w:b w:val="0"/>
          <w:bCs w:val="0"/>
          <w:color w:val="0000FF"/>
          <w:sz w:val="24"/>
        </w:rPr>
        <w:t>。</w:t>
      </w:r>
    </w:p>
    <w:p w14:paraId="1C73CF63">
      <w:pPr>
        <w:adjustRightInd w:val="0"/>
        <w:snapToGrid w:val="0"/>
        <w:spacing w:line="360" w:lineRule="auto"/>
        <w:ind w:firstLine="480" w:firstLineChars="200"/>
        <w:rPr>
          <w:sz w:val="24"/>
        </w:rPr>
      </w:pPr>
      <w:r>
        <w:rPr>
          <w:sz w:val="24"/>
        </w:rPr>
        <w:t>特此公告。</w:t>
      </w:r>
    </w:p>
    <w:p w14:paraId="1435EDE8">
      <w:pPr>
        <w:adjustRightInd w:val="0"/>
        <w:snapToGrid w:val="0"/>
        <w:spacing w:line="360" w:lineRule="auto"/>
        <w:ind w:left="480"/>
        <w:jc w:val="right"/>
        <w:rPr>
          <w:b/>
          <w:sz w:val="24"/>
        </w:rPr>
      </w:pPr>
      <w:r>
        <w:rPr>
          <w:b/>
          <w:sz w:val="24"/>
        </w:rPr>
        <w:t>中广核核技术发展股份有限公司</w:t>
      </w:r>
    </w:p>
    <w:p w14:paraId="656FE0DD">
      <w:pPr>
        <w:adjustRightInd w:val="0"/>
        <w:snapToGrid w:val="0"/>
        <w:spacing w:line="360" w:lineRule="auto"/>
        <w:ind w:left="480"/>
        <w:jc w:val="right"/>
        <w:rPr>
          <w:b/>
          <w:sz w:val="24"/>
        </w:rPr>
      </w:pPr>
      <w:r>
        <w:rPr>
          <w:b/>
          <w:sz w:val="24"/>
        </w:rPr>
        <w:t>董事会</w:t>
      </w:r>
    </w:p>
    <w:p w14:paraId="59168D19">
      <w:pPr>
        <w:adjustRightInd w:val="0"/>
        <w:snapToGrid w:val="0"/>
        <w:spacing w:line="360" w:lineRule="auto"/>
        <w:ind w:left="480" w:firstLine="482"/>
        <w:jc w:val="right"/>
      </w:pPr>
      <w:r>
        <w:rPr>
          <w:b/>
          <w:sz w:val="24"/>
        </w:rPr>
        <w:t>202</w:t>
      </w:r>
      <w:r>
        <w:rPr>
          <w:rFonts w:hint="eastAsia"/>
          <w:b/>
          <w:sz w:val="24"/>
        </w:rPr>
        <w:t>4</w:t>
      </w:r>
      <w:r>
        <w:rPr>
          <w:b/>
          <w:sz w:val="24"/>
        </w:rPr>
        <w:t>年</w:t>
      </w:r>
      <w:r>
        <w:rPr>
          <w:rFonts w:hint="eastAsia"/>
          <w:b/>
          <w:sz w:val="24"/>
        </w:rPr>
        <w:t>1</w:t>
      </w:r>
      <w:r>
        <w:rPr>
          <w:rFonts w:hint="eastAsia"/>
          <w:b/>
          <w:sz w:val="24"/>
          <w:lang w:val="en-US" w:eastAsia="zh-CN"/>
        </w:rPr>
        <w:t>1</w:t>
      </w:r>
      <w:r>
        <w:rPr>
          <w:b/>
          <w:sz w:val="24"/>
        </w:rPr>
        <w:t>月</w:t>
      </w:r>
      <w:r>
        <w:rPr>
          <w:rFonts w:hint="eastAsia"/>
          <w:b/>
          <w:sz w:val="24"/>
          <w:lang w:val="en-US" w:eastAsia="zh-CN"/>
        </w:rPr>
        <w:t>1</w:t>
      </w:r>
      <w:r>
        <w:rPr>
          <w:rFonts w:hint="eastAsia"/>
          <w:b/>
          <w:sz w:val="24"/>
          <w:lang w:val="en-US" w:eastAsia="zh-CN"/>
        </w:rPr>
        <w:t>9</w:t>
      </w:r>
      <w:r>
        <w:rPr>
          <w:b/>
          <w:sz w:val="24"/>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D1143">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D2"/>
    <w:rsid w:val="00005DFC"/>
    <w:rsid w:val="00011215"/>
    <w:rsid w:val="000407A1"/>
    <w:rsid w:val="00043854"/>
    <w:rsid w:val="000565AD"/>
    <w:rsid w:val="000622CD"/>
    <w:rsid w:val="00064605"/>
    <w:rsid w:val="00065359"/>
    <w:rsid w:val="0008410D"/>
    <w:rsid w:val="0008461E"/>
    <w:rsid w:val="00093C81"/>
    <w:rsid w:val="000961E8"/>
    <w:rsid w:val="000B35D8"/>
    <w:rsid w:val="000B4D2B"/>
    <w:rsid w:val="000C3A3B"/>
    <w:rsid w:val="000F6348"/>
    <w:rsid w:val="00101EB0"/>
    <w:rsid w:val="00103F33"/>
    <w:rsid w:val="00123ADF"/>
    <w:rsid w:val="00124950"/>
    <w:rsid w:val="001274E7"/>
    <w:rsid w:val="00133715"/>
    <w:rsid w:val="0013469C"/>
    <w:rsid w:val="00153753"/>
    <w:rsid w:val="0016433D"/>
    <w:rsid w:val="00176224"/>
    <w:rsid w:val="00182413"/>
    <w:rsid w:val="001900BA"/>
    <w:rsid w:val="00196ABE"/>
    <w:rsid w:val="001A3A5D"/>
    <w:rsid w:val="001C7AD3"/>
    <w:rsid w:val="001D24AC"/>
    <w:rsid w:val="002077C4"/>
    <w:rsid w:val="0022189A"/>
    <w:rsid w:val="00230005"/>
    <w:rsid w:val="002379FC"/>
    <w:rsid w:val="002406C5"/>
    <w:rsid w:val="00245F8F"/>
    <w:rsid w:val="00246784"/>
    <w:rsid w:val="00263159"/>
    <w:rsid w:val="00267274"/>
    <w:rsid w:val="002913CE"/>
    <w:rsid w:val="00296608"/>
    <w:rsid w:val="002979C9"/>
    <w:rsid w:val="002A7FAA"/>
    <w:rsid w:val="002B75D0"/>
    <w:rsid w:val="002C78C7"/>
    <w:rsid w:val="002D720B"/>
    <w:rsid w:val="002E0F0B"/>
    <w:rsid w:val="002E128D"/>
    <w:rsid w:val="002F47FB"/>
    <w:rsid w:val="002F522B"/>
    <w:rsid w:val="00301C48"/>
    <w:rsid w:val="00302959"/>
    <w:rsid w:val="003032FB"/>
    <w:rsid w:val="0030556F"/>
    <w:rsid w:val="0030691E"/>
    <w:rsid w:val="003122D1"/>
    <w:rsid w:val="00316068"/>
    <w:rsid w:val="003164CA"/>
    <w:rsid w:val="003277BE"/>
    <w:rsid w:val="003623B1"/>
    <w:rsid w:val="0037033A"/>
    <w:rsid w:val="003727D0"/>
    <w:rsid w:val="00377AE0"/>
    <w:rsid w:val="00381033"/>
    <w:rsid w:val="003A7DAC"/>
    <w:rsid w:val="003C333E"/>
    <w:rsid w:val="003D0B3E"/>
    <w:rsid w:val="003D20EF"/>
    <w:rsid w:val="003F12BE"/>
    <w:rsid w:val="003F43C6"/>
    <w:rsid w:val="004041E7"/>
    <w:rsid w:val="004319BC"/>
    <w:rsid w:val="0044612F"/>
    <w:rsid w:val="004461A7"/>
    <w:rsid w:val="004542C3"/>
    <w:rsid w:val="004543EC"/>
    <w:rsid w:val="00455CBB"/>
    <w:rsid w:val="004938AF"/>
    <w:rsid w:val="004E462A"/>
    <w:rsid w:val="004F4598"/>
    <w:rsid w:val="004F518C"/>
    <w:rsid w:val="00507565"/>
    <w:rsid w:val="00515B5A"/>
    <w:rsid w:val="0052306E"/>
    <w:rsid w:val="00524BDF"/>
    <w:rsid w:val="00527518"/>
    <w:rsid w:val="00527CB0"/>
    <w:rsid w:val="00534D61"/>
    <w:rsid w:val="00537B3B"/>
    <w:rsid w:val="00545D8B"/>
    <w:rsid w:val="00563F14"/>
    <w:rsid w:val="005775A8"/>
    <w:rsid w:val="00581D7A"/>
    <w:rsid w:val="00584645"/>
    <w:rsid w:val="00597626"/>
    <w:rsid w:val="005A574E"/>
    <w:rsid w:val="005A5CDC"/>
    <w:rsid w:val="005B0F5E"/>
    <w:rsid w:val="005C694A"/>
    <w:rsid w:val="005D2DA8"/>
    <w:rsid w:val="005D795B"/>
    <w:rsid w:val="005E4EBD"/>
    <w:rsid w:val="005F35CF"/>
    <w:rsid w:val="00610048"/>
    <w:rsid w:val="00626112"/>
    <w:rsid w:val="006268EB"/>
    <w:rsid w:val="00636C1E"/>
    <w:rsid w:val="006433B1"/>
    <w:rsid w:val="00650519"/>
    <w:rsid w:val="00653406"/>
    <w:rsid w:val="0067015E"/>
    <w:rsid w:val="00670AFF"/>
    <w:rsid w:val="00675466"/>
    <w:rsid w:val="006802FD"/>
    <w:rsid w:val="006820AE"/>
    <w:rsid w:val="00697696"/>
    <w:rsid w:val="006A087B"/>
    <w:rsid w:val="006A0D5E"/>
    <w:rsid w:val="006B1C92"/>
    <w:rsid w:val="006B2E06"/>
    <w:rsid w:val="006B5F75"/>
    <w:rsid w:val="006C2919"/>
    <w:rsid w:val="006D474C"/>
    <w:rsid w:val="006E0270"/>
    <w:rsid w:val="006F02BB"/>
    <w:rsid w:val="006F48F3"/>
    <w:rsid w:val="006F6A30"/>
    <w:rsid w:val="00702860"/>
    <w:rsid w:val="00703558"/>
    <w:rsid w:val="00714E29"/>
    <w:rsid w:val="00716DC7"/>
    <w:rsid w:val="00720347"/>
    <w:rsid w:val="007269D9"/>
    <w:rsid w:val="00733326"/>
    <w:rsid w:val="007423A8"/>
    <w:rsid w:val="007571CE"/>
    <w:rsid w:val="007650C9"/>
    <w:rsid w:val="00774470"/>
    <w:rsid w:val="00794638"/>
    <w:rsid w:val="007A2A58"/>
    <w:rsid w:val="007A7DBF"/>
    <w:rsid w:val="007C134E"/>
    <w:rsid w:val="007C40DB"/>
    <w:rsid w:val="007C6AE8"/>
    <w:rsid w:val="007D1262"/>
    <w:rsid w:val="007D2E9B"/>
    <w:rsid w:val="007E1023"/>
    <w:rsid w:val="007E2A95"/>
    <w:rsid w:val="007E7935"/>
    <w:rsid w:val="007F07C4"/>
    <w:rsid w:val="007F713A"/>
    <w:rsid w:val="00803740"/>
    <w:rsid w:val="00817DF6"/>
    <w:rsid w:val="00821C70"/>
    <w:rsid w:val="008232E0"/>
    <w:rsid w:val="00836CF8"/>
    <w:rsid w:val="00842FAB"/>
    <w:rsid w:val="0084382E"/>
    <w:rsid w:val="00860D32"/>
    <w:rsid w:val="0086481E"/>
    <w:rsid w:val="008718C6"/>
    <w:rsid w:val="00874DE2"/>
    <w:rsid w:val="00882DA0"/>
    <w:rsid w:val="00884AF6"/>
    <w:rsid w:val="008A7BBF"/>
    <w:rsid w:val="008B0716"/>
    <w:rsid w:val="008B7601"/>
    <w:rsid w:val="008C2D05"/>
    <w:rsid w:val="008E0A77"/>
    <w:rsid w:val="008E3194"/>
    <w:rsid w:val="009026D8"/>
    <w:rsid w:val="009033A6"/>
    <w:rsid w:val="009057B8"/>
    <w:rsid w:val="009122D3"/>
    <w:rsid w:val="0091789E"/>
    <w:rsid w:val="00922D32"/>
    <w:rsid w:val="00930EDC"/>
    <w:rsid w:val="00934745"/>
    <w:rsid w:val="009419AC"/>
    <w:rsid w:val="00946F51"/>
    <w:rsid w:val="0097793D"/>
    <w:rsid w:val="00980D93"/>
    <w:rsid w:val="009926A6"/>
    <w:rsid w:val="009A1147"/>
    <w:rsid w:val="009C43CA"/>
    <w:rsid w:val="009D7946"/>
    <w:rsid w:val="009E4A44"/>
    <w:rsid w:val="009E719F"/>
    <w:rsid w:val="00A03B46"/>
    <w:rsid w:val="00A05150"/>
    <w:rsid w:val="00A13CF3"/>
    <w:rsid w:val="00A16CD2"/>
    <w:rsid w:val="00A20B40"/>
    <w:rsid w:val="00A232F7"/>
    <w:rsid w:val="00A330AB"/>
    <w:rsid w:val="00A42308"/>
    <w:rsid w:val="00A423D8"/>
    <w:rsid w:val="00A74877"/>
    <w:rsid w:val="00A8050E"/>
    <w:rsid w:val="00A80D45"/>
    <w:rsid w:val="00A971B9"/>
    <w:rsid w:val="00AE124E"/>
    <w:rsid w:val="00AE15FA"/>
    <w:rsid w:val="00B06C0A"/>
    <w:rsid w:val="00B12AD5"/>
    <w:rsid w:val="00B1347C"/>
    <w:rsid w:val="00B247E2"/>
    <w:rsid w:val="00B35B0C"/>
    <w:rsid w:val="00B40425"/>
    <w:rsid w:val="00B50F02"/>
    <w:rsid w:val="00B72628"/>
    <w:rsid w:val="00B72C39"/>
    <w:rsid w:val="00B76F20"/>
    <w:rsid w:val="00B772E0"/>
    <w:rsid w:val="00B839DD"/>
    <w:rsid w:val="00B85CB7"/>
    <w:rsid w:val="00B978AD"/>
    <w:rsid w:val="00BA03B0"/>
    <w:rsid w:val="00BA717D"/>
    <w:rsid w:val="00BB3817"/>
    <w:rsid w:val="00BB3A01"/>
    <w:rsid w:val="00BC1414"/>
    <w:rsid w:val="00BC6DF8"/>
    <w:rsid w:val="00BE3B39"/>
    <w:rsid w:val="00BE7EB9"/>
    <w:rsid w:val="00C018DC"/>
    <w:rsid w:val="00C01F67"/>
    <w:rsid w:val="00C16583"/>
    <w:rsid w:val="00C417D1"/>
    <w:rsid w:val="00C6523D"/>
    <w:rsid w:val="00C82B2E"/>
    <w:rsid w:val="00C8311E"/>
    <w:rsid w:val="00C93EAF"/>
    <w:rsid w:val="00CA1BA7"/>
    <w:rsid w:val="00CB449A"/>
    <w:rsid w:val="00CC6500"/>
    <w:rsid w:val="00CD77F7"/>
    <w:rsid w:val="00CE1F11"/>
    <w:rsid w:val="00CE59C5"/>
    <w:rsid w:val="00CF1891"/>
    <w:rsid w:val="00CF4BEA"/>
    <w:rsid w:val="00D34321"/>
    <w:rsid w:val="00D35120"/>
    <w:rsid w:val="00D5268B"/>
    <w:rsid w:val="00D6062A"/>
    <w:rsid w:val="00D61735"/>
    <w:rsid w:val="00D62E68"/>
    <w:rsid w:val="00D756D1"/>
    <w:rsid w:val="00D824FF"/>
    <w:rsid w:val="00D82F46"/>
    <w:rsid w:val="00D9686B"/>
    <w:rsid w:val="00DA0605"/>
    <w:rsid w:val="00DA6F10"/>
    <w:rsid w:val="00DE24F5"/>
    <w:rsid w:val="00DE6FA4"/>
    <w:rsid w:val="00E012A7"/>
    <w:rsid w:val="00E1154B"/>
    <w:rsid w:val="00E2244C"/>
    <w:rsid w:val="00E2323A"/>
    <w:rsid w:val="00E253BA"/>
    <w:rsid w:val="00E30014"/>
    <w:rsid w:val="00E42B80"/>
    <w:rsid w:val="00E44B42"/>
    <w:rsid w:val="00E44FA5"/>
    <w:rsid w:val="00E463D9"/>
    <w:rsid w:val="00E60B30"/>
    <w:rsid w:val="00E64A89"/>
    <w:rsid w:val="00E72D2C"/>
    <w:rsid w:val="00E91D19"/>
    <w:rsid w:val="00EA30FF"/>
    <w:rsid w:val="00EB3539"/>
    <w:rsid w:val="00F000AD"/>
    <w:rsid w:val="00F01405"/>
    <w:rsid w:val="00F03B32"/>
    <w:rsid w:val="00F115B0"/>
    <w:rsid w:val="00F127B7"/>
    <w:rsid w:val="00F225E8"/>
    <w:rsid w:val="00F3780A"/>
    <w:rsid w:val="00F37B17"/>
    <w:rsid w:val="00F420C8"/>
    <w:rsid w:val="00F43B4C"/>
    <w:rsid w:val="00F5091F"/>
    <w:rsid w:val="00F5296F"/>
    <w:rsid w:val="00F61A7A"/>
    <w:rsid w:val="00F7117F"/>
    <w:rsid w:val="00F83831"/>
    <w:rsid w:val="00F907E6"/>
    <w:rsid w:val="00FA316A"/>
    <w:rsid w:val="00FC2DA4"/>
    <w:rsid w:val="00FD74C3"/>
    <w:rsid w:val="00FE171C"/>
    <w:rsid w:val="00FE7BD8"/>
    <w:rsid w:val="00FF0D79"/>
    <w:rsid w:val="00FF4D42"/>
    <w:rsid w:val="011865A6"/>
    <w:rsid w:val="022C641F"/>
    <w:rsid w:val="025A4C76"/>
    <w:rsid w:val="029561EE"/>
    <w:rsid w:val="03071604"/>
    <w:rsid w:val="03B463AF"/>
    <w:rsid w:val="04DE516D"/>
    <w:rsid w:val="04E5520C"/>
    <w:rsid w:val="04EF01D8"/>
    <w:rsid w:val="052A0005"/>
    <w:rsid w:val="057B7A05"/>
    <w:rsid w:val="057E2E99"/>
    <w:rsid w:val="05ED0AB0"/>
    <w:rsid w:val="06374CBF"/>
    <w:rsid w:val="06E17610"/>
    <w:rsid w:val="07666952"/>
    <w:rsid w:val="07EC690F"/>
    <w:rsid w:val="081536FE"/>
    <w:rsid w:val="08AE5A25"/>
    <w:rsid w:val="08E77E2B"/>
    <w:rsid w:val="097D46E7"/>
    <w:rsid w:val="0A3C72D5"/>
    <w:rsid w:val="0A8E51B6"/>
    <w:rsid w:val="0ADA025B"/>
    <w:rsid w:val="0AEA48AF"/>
    <w:rsid w:val="0AF21185"/>
    <w:rsid w:val="0B131D8D"/>
    <w:rsid w:val="0B216B2E"/>
    <w:rsid w:val="0B616C53"/>
    <w:rsid w:val="0BA8024D"/>
    <w:rsid w:val="0BDD6C5D"/>
    <w:rsid w:val="0BF04C05"/>
    <w:rsid w:val="0C7956A0"/>
    <w:rsid w:val="0D023866"/>
    <w:rsid w:val="0D4568DF"/>
    <w:rsid w:val="0D567F7E"/>
    <w:rsid w:val="0D980402"/>
    <w:rsid w:val="0E597E6B"/>
    <w:rsid w:val="0E79592C"/>
    <w:rsid w:val="0E817D4F"/>
    <w:rsid w:val="0E8848CC"/>
    <w:rsid w:val="0EA613E8"/>
    <w:rsid w:val="0EC75034"/>
    <w:rsid w:val="0F126346"/>
    <w:rsid w:val="0F2159B9"/>
    <w:rsid w:val="106629FF"/>
    <w:rsid w:val="10E45CCE"/>
    <w:rsid w:val="11AC7C84"/>
    <w:rsid w:val="11BE0EFC"/>
    <w:rsid w:val="12561C36"/>
    <w:rsid w:val="127B61EA"/>
    <w:rsid w:val="12F91530"/>
    <w:rsid w:val="137739AF"/>
    <w:rsid w:val="139F7088"/>
    <w:rsid w:val="14322531"/>
    <w:rsid w:val="14767E80"/>
    <w:rsid w:val="15BD5F5B"/>
    <w:rsid w:val="164909E4"/>
    <w:rsid w:val="16A61C36"/>
    <w:rsid w:val="170148CE"/>
    <w:rsid w:val="17263053"/>
    <w:rsid w:val="17406548"/>
    <w:rsid w:val="180C09DF"/>
    <w:rsid w:val="181E3DA1"/>
    <w:rsid w:val="189A03E3"/>
    <w:rsid w:val="18C3236F"/>
    <w:rsid w:val="192C6C07"/>
    <w:rsid w:val="19431A7B"/>
    <w:rsid w:val="19451ADC"/>
    <w:rsid w:val="1A3343E7"/>
    <w:rsid w:val="1A526750"/>
    <w:rsid w:val="1A5D5E16"/>
    <w:rsid w:val="1AB6613D"/>
    <w:rsid w:val="1ACD6CA7"/>
    <w:rsid w:val="1ADB29A0"/>
    <w:rsid w:val="1AF121AB"/>
    <w:rsid w:val="1B3E32EE"/>
    <w:rsid w:val="1B531365"/>
    <w:rsid w:val="1B9336E0"/>
    <w:rsid w:val="1BB81089"/>
    <w:rsid w:val="1BC33A83"/>
    <w:rsid w:val="1BF86DC5"/>
    <w:rsid w:val="1C2078C5"/>
    <w:rsid w:val="1C8D33FE"/>
    <w:rsid w:val="1CD55FDE"/>
    <w:rsid w:val="1D091930"/>
    <w:rsid w:val="1D5F1717"/>
    <w:rsid w:val="1D6848AB"/>
    <w:rsid w:val="1D7D3E6D"/>
    <w:rsid w:val="1DC505A4"/>
    <w:rsid w:val="1E2A4DC1"/>
    <w:rsid w:val="1E5803F1"/>
    <w:rsid w:val="1E900434"/>
    <w:rsid w:val="1F734328"/>
    <w:rsid w:val="1F97051A"/>
    <w:rsid w:val="1FB46AC6"/>
    <w:rsid w:val="20AF4FE0"/>
    <w:rsid w:val="214304FC"/>
    <w:rsid w:val="21886F72"/>
    <w:rsid w:val="21F0524C"/>
    <w:rsid w:val="231914AA"/>
    <w:rsid w:val="2334625F"/>
    <w:rsid w:val="249504C2"/>
    <w:rsid w:val="25120A61"/>
    <w:rsid w:val="251A134F"/>
    <w:rsid w:val="25344B66"/>
    <w:rsid w:val="25A65A19"/>
    <w:rsid w:val="25F435D2"/>
    <w:rsid w:val="263C39C6"/>
    <w:rsid w:val="26DA1D45"/>
    <w:rsid w:val="26F230B7"/>
    <w:rsid w:val="2701656D"/>
    <w:rsid w:val="27475EC3"/>
    <w:rsid w:val="27E812E9"/>
    <w:rsid w:val="27F621C8"/>
    <w:rsid w:val="283E1A82"/>
    <w:rsid w:val="285C1541"/>
    <w:rsid w:val="288E2B5D"/>
    <w:rsid w:val="28F55323"/>
    <w:rsid w:val="292F1207"/>
    <w:rsid w:val="29807A50"/>
    <w:rsid w:val="298C440F"/>
    <w:rsid w:val="29AC6297"/>
    <w:rsid w:val="2A1E5E98"/>
    <w:rsid w:val="2AE277E9"/>
    <w:rsid w:val="2AFF2016"/>
    <w:rsid w:val="2B145875"/>
    <w:rsid w:val="2B5F560F"/>
    <w:rsid w:val="2B710AC9"/>
    <w:rsid w:val="2BD8717A"/>
    <w:rsid w:val="2CCF4BB4"/>
    <w:rsid w:val="2D6730D1"/>
    <w:rsid w:val="2E1E0D79"/>
    <w:rsid w:val="2EE9535C"/>
    <w:rsid w:val="2F0567FE"/>
    <w:rsid w:val="2F3F3341"/>
    <w:rsid w:val="30A45AD9"/>
    <w:rsid w:val="30E97ADA"/>
    <w:rsid w:val="315106C6"/>
    <w:rsid w:val="31A66981"/>
    <w:rsid w:val="326F3E4B"/>
    <w:rsid w:val="32710157"/>
    <w:rsid w:val="32E76D57"/>
    <w:rsid w:val="33227172"/>
    <w:rsid w:val="332B2000"/>
    <w:rsid w:val="336D115E"/>
    <w:rsid w:val="33CD3EF6"/>
    <w:rsid w:val="346D06AE"/>
    <w:rsid w:val="34EA2D01"/>
    <w:rsid w:val="358F3F19"/>
    <w:rsid w:val="35A327C8"/>
    <w:rsid w:val="35AE7B20"/>
    <w:rsid w:val="35DC08AF"/>
    <w:rsid w:val="368C05F5"/>
    <w:rsid w:val="36B85A54"/>
    <w:rsid w:val="36D01D23"/>
    <w:rsid w:val="377F01AE"/>
    <w:rsid w:val="37AB0A63"/>
    <w:rsid w:val="38070F21"/>
    <w:rsid w:val="38510AB7"/>
    <w:rsid w:val="389124D4"/>
    <w:rsid w:val="38A547BD"/>
    <w:rsid w:val="38C95539"/>
    <w:rsid w:val="39511E95"/>
    <w:rsid w:val="39741A00"/>
    <w:rsid w:val="3A0D3D67"/>
    <w:rsid w:val="3A3C2B0C"/>
    <w:rsid w:val="3ACF68A5"/>
    <w:rsid w:val="3BE94AEC"/>
    <w:rsid w:val="3C00607A"/>
    <w:rsid w:val="3C683BED"/>
    <w:rsid w:val="3C7E6350"/>
    <w:rsid w:val="3C85613C"/>
    <w:rsid w:val="3DCA206F"/>
    <w:rsid w:val="3F7A558A"/>
    <w:rsid w:val="3F9B61F7"/>
    <w:rsid w:val="3FA946E8"/>
    <w:rsid w:val="40687CE4"/>
    <w:rsid w:val="40924890"/>
    <w:rsid w:val="4125116A"/>
    <w:rsid w:val="41367B0D"/>
    <w:rsid w:val="41A97A14"/>
    <w:rsid w:val="41D43C87"/>
    <w:rsid w:val="41FE3CD2"/>
    <w:rsid w:val="421C3283"/>
    <w:rsid w:val="422B0662"/>
    <w:rsid w:val="427524E0"/>
    <w:rsid w:val="42BE6A49"/>
    <w:rsid w:val="438727AA"/>
    <w:rsid w:val="442A34E8"/>
    <w:rsid w:val="447E1A89"/>
    <w:rsid w:val="44B14540"/>
    <w:rsid w:val="44B60CF0"/>
    <w:rsid w:val="44C70B4F"/>
    <w:rsid w:val="454105AC"/>
    <w:rsid w:val="45A3734C"/>
    <w:rsid w:val="45E25BDA"/>
    <w:rsid w:val="466402FF"/>
    <w:rsid w:val="48240342"/>
    <w:rsid w:val="483E0D79"/>
    <w:rsid w:val="4A2B20E7"/>
    <w:rsid w:val="4A3E0F9B"/>
    <w:rsid w:val="4AAC42BD"/>
    <w:rsid w:val="4C0B27BA"/>
    <w:rsid w:val="4C132E63"/>
    <w:rsid w:val="4CE21F38"/>
    <w:rsid w:val="4CEB05BD"/>
    <w:rsid w:val="4D3971D3"/>
    <w:rsid w:val="4D482C87"/>
    <w:rsid w:val="4DCB7724"/>
    <w:rsid w:val="4E117DD8"/>
    <w:rsid w:val="4E5B1483"/>
    <w:rsid w:val="4E8151C8"/>
    <w:rsid w:val="4ED24A21"/>
    <w:rsid w:val="4EDB6B6F"/>
    <w:rsid w:val="4EF6519A"/>
    <w:rsid w:val="4F0C4DFC"/>
    <w:rsid w:val="4F203DE0"/>
    <w:rsid w:val="4F644E8B"/>
    <w:rsid w:val="4FEC3948"/>
    <w:rsid w:val="504273BB"/>
    <w:rsid w:val="504916A3"/>
    <w:rsid w:val="51AB36E3"/>
    <w:rsid w:val="51EA5EB6"/>
    <w:rsid w:val="524158E0"/>
    <w:rsid w:val="526B7CC5"/>
    <w:rsid w:val="52F00D9C"/>
    <w:rsid w:val="53012A94"/>
    <w:rsid w:val="53027D6F"/>
    <w:rsid w:val="531A43FC"/>
    <w:rsid w:val="53390E2F"/>
    <w:rsid w:val="53C56E27"/>
    <w:rsid w:val="53EE3709"/>
    <w:rsid w:val="54300CF7"/>
    <w:rsid w:val="545775DF"/>
    <w:rsid w:val="545F31EA"/>
    <w:rsid w:val="548C1F5D"/>
    <w:rsid w:val="54A17AE2"/>
    <w:rsid w:val="54A2252B"/>
    <w:rsid w:val="54A540EC"/>
    <w:rsid w:val="54A728E5"/>
    <w:rsid w:val="54BD7AB7"/>
    <w:rsid w:val="54EF499E"/>
    <w:rsid w:val="558A1375"/>
    <w:rsid w:val="56610546"/>
    <w:rsid w:val="56CC2791"/>
    <w:rsid w:val="575B27BF"/>
    <w:rsid w:val="579B08C7"/>
    <w:rsid w:val="57A646D9"/>
    <w:rsid w:val="57E16E3D"/>
    <w:rsid w:val="58402DB6"/>
    <w:rsid w:val="58962E42"/>
    <w:rsid w:val="58C93758"/>
    <w:rsid w:val="59A02428"/>
    <w:rsid w:val="5A010E2E"/>
    <w:rsid w:val="5B2C7216"/>
    <w:rsid w:val="5B4F5AC2"/>
    <w:rsid w:val="5B707B4F"/>
    <w:rsid w:val="5BA875DA"/>
    <w:rsid w:val="5BAF3775"/>
    <w:rsid w:val="5BDB5443"/>
    <w:rsid w:val="5BF50F7A"/>
    <w:rsid w:val="5C8173DD"/>
    <w:rsid w:val="5CA045E5"/>
    <w:rsid w:val="5CAB76CD"/>
    <w:rsid w:val="5CB318A3"/>
    <w:rsid w:val="5CF127EB"/>
    <w:rsid w:val="5D0D4D53"/>
    <w:rsid w:val="5D36727B"/>
    <w:rsid w:val="5D7509B9"/>
    <w:rsid w:val="5D7D4A66"/>
    <w:rsid w:val="5DBA7B96"/>
    <w:rsid w:val="5E6F3E81"/>
    <w:rsid w:val="5EF275F0"/>
    <w:rsid w:val="5F2073F3"/>
    <w:rsid w:val="5F3425D9"/>
    <w:rsid w:val="60142587"/>
    <w:rsid w:val="605D7018"/>
    <w:rsid w:val="60656A5E"/>
    <w:rsid w:val="614F0476"/>
    <w:rsid w:val="61526112"/>
    <w:rsid w:val="619D460C"/>
    <w:rsid w:val="624060C2"/>
    <w:rsid w:val="624730AB"/>
    <w:rsid w:val="62E27F29"/>
    <w:rsid w:val="63FC07F3"/>
    <w:rsid w:val="640E3116"/>
    <w:rsid w:val="642E20BF"/>
    <w:rsid w:val="644C39DE"/>
    <w:rsid w:val="65282B20"/>
    <w:rsid w:val="65DF6900"/>
    <w:rsid w:val="667A63AC"/>
    <w:rsid w:val="669E696B"/>
    <w:rsid w:val="674028F1"/>
    <w:rsid w:val="674907AD"/>
    <w:rsid w:val="67982023"/>
    <w:rsid w:val="67F55E37"/>
    <w:rsid w:val="68220CE6"/>
    <w:rsid w:val="68272D3F"/>
    <w:rsid w:val="685C712D"/>
    <w:rsid w:val="686E74D1"/>
    <w:rsid w:val="687A73F8"/>
    <w:rsid w:val="688D0519"/>
    <w:rsid w:val="68E4252D"/>
    <w:rsid w:val="69477803"/>
    <w:rsid w:val="69C813F5"/>
    <w:rsid w:val="6A3C4306"/>
    <w:rsid w:val="6A4F52AB"/>
    <w:rsid w:val="6B0E42DC"/>
    <w:rsid w:val="6B55722A"/>
    <w:rsid w:val="6C53726C"/>
    <w:rsid w:val="6C6B706C"/>
    <w:rsid w:val="6D23263E"/>
    <w:rsid w:val="6DD449DC"/>
    <w:rsid w:val="6E135139"/>
    <w:rsid w:val="6E944437"/>
    <w:rsid w:val="6F195E6F"/>
    <w:rsid w:val="6F9A75F6"/>
    <w:rsid w:val="6FAA3BD1"/>
    <w:rsid w:val="6FAC1340"/>
    <w:rsid w:val="6FB6362D"/>
    <w:rsid w:val="70162CD4"/>
    <w:rsid w:val="70742409"/>
    <w:rsid w:val="71072C7D"/>
    <w:rsid w:val="71C42137"/>
    <w:rsid w:val="72045017"/>
    <w:rsid w:val="726254B8"/>
    <w:rsid w:val="726B4FFC"/>
    <w:rsid w:val="72725994"/>
    <w:rsid w:val="72974B6E"/>
    <w:rsid w:val="72DE34C5"/>
    <w:rsid w:val="73A87BE1"/>
    <w:rsid w:val="73D8658A"/>
    <w:rsid w:val="73E55634"/>
    <w:rsid w:val="74050CF6"/>
    <w:rsid w:val="74404A49"/>
    <w:rsid w:val="75956529"/>
    <w:rsid w:val="75A615EA"/>
    <w:rsid w:val="75FA1475"/>
    <w:rsid w:val="768350BA"/>
    <w:rsid w:val="76B4438D"/>
    <w:rsid w:val="76B6015B"/>
    <w:rsid w:val="777D3B96"/>
    <w:rsid w:val="77B867DE"/>
    <w:rsid w:val="78260B2C"/>
    <w:rsid w:val="785173F2"/>
    <w:rsid w:val="785C1006"/>
    <w:rsid w:val="78993F99"/>
    <w:rsid w:val="78A77C15"/>
    <w:rsid w:val="78F93FB3"/>
    <w:rsid w:val="78FF45EA"/>
    <w:rsid w:val="7914780C"/>
    <w:rsid w:val="79A60A14"/>
    <w:rsid w:val="79B17BC5"/>
    <w:rsid w:val="7A524C96"/>
    <w:rsid w:val="7A6A337A"/>
    <w:rsid w:val="7A8369BE"/>
    <w:rsid w:val="7A8846B2"/>
    <w:rsid w:val="7AEF792E"/>
    <w:rsid w:val="7B657637"/>
    <w:rsid w:val="7C361D63"/>
    <w:rsid w:val="7C5C5C93"/>
    <w:rsid w:val="7CA06586"/>
    <w:rsid w:val="7D8F7AD4"/>
    <w:rsid w:val="7EC46B81"/>
    <w:rsid w:val="7F7A3BAE"/>
    <w:rsid w:val="7F9675F1"/>
    <w:rsid w:val="7FD52A46"/>
    <w:rsid w:val="7FEF6D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0">
    <w:name w:val="Default Paragraph Font"/>
    <w:unhideWhenUsed/>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Style w:val="8"/>
      <w:tblCellMar>
        <w:top w:w="0" w:type="dxa"/>
        <w:left w:w="108" w:type="dxa"/>
        <w:bottom w:w="0" w:type="dxa"/>
        <w:right w:w="108" w:type="dxa"/>
      </w:tblCellMar>
    </w:tblPr>
  </w:style>
  <w:style w:type="paragraph" w:styleId="2">
    <w:name w:val="annotation text"/>
    <w:basedOn w:val="1"/>
    <w:link w:val="12"/>
    <w:unhideWhenUsed/>
    <w:uiPriority w:val="99"/>
    <w:pPr>
      <w:jc w:val="left"/>
    </w:pPr>
  </w:style>
  <w:style w:type="paragraph" w:styleId="3">
    <w:name w:val="Balloon Text"/>
    <w:basedOn w:val="1"/>
    <w:link w:val="13"/>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unhideWhenUsed/>
    <w:uiPriority w:val="99"/>
    <w:rPr>
      <w:b/>
      <w:bCs/>
    </w:rPr>
  </w:style>
  <w:style w:type="table" w:styleId="9">
    <w:name w:val="Table Grid"/>
    <w:basedOn w:val="8"/>
    <w:uiPriority w:val="39"/>
    <w:rPr>
      <w:rFonts w:ascii="Times New Roman" w:hAnsi="Times New Roman" w:eastAsia="宋体" w:cs="Times New Roman"/>
      <w:kern w:val="0"/>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nhideWhenUsed/>
    <w:uiPriority w:val="99"/>
    <w:rPr>
      <w:sz w:val="21"/>
      <w:szCs w:val="21"/>
    </w:rPr>
  </w:style>
  <w:style w:type="character" w:customStyle="1" w:styleId="12">
    <w:name w:val="批注文字 Char"/>
    <w:link w:val="2"/>
    <w:semiHidden/>
    <w:uiPriority w:val="99"/>
    <w:rPr>
      <w:rFonts w:ascii="Times New Roman" w:hAnsi="Times New Roman" w:eastAsia="宋体" w:cs="Times New Roman"/>
      <w:szCs w:val="20"/>
    </w:rPr>
  </w:style>
  <w:style w:type="character" w:customStyle="1" w:styleId="13">
    <w:name w:val="批注框文本 Char"/>
    <w:link w:val="3"/>
    <w:semiHidden/>
    <w:uiPriority w:val="99"/>
    <w:rPr>
      <w:rFonts w:ascii="Times New Roman" w:hAnsi="Times New Roman" w:eastAsia="宋体" w:cs="Times New Roman"/>
      <w:sz w:val="18"/>
      <w:szCs w:val="18"/>
    </w:rPr>
  </w:style>
  <w:style w:type="character" w:customStyle="1" w:styleId="14">
    <w:name w:val="页脚 Char"/>
    <w:link w:val="4"/>
    <w:uiPriority w:val="99"/>
    <w:rPr>
      <w:sz w:val="18"/>
      <w:szCs w:val="18"/>
    </w:rPr>
  </w:style>
  <w:style w:type="character" w:customStyle="1" w:styleId="15">
    <w:name w:val="页眉 Char"/>
    <w:link w:val="5"/>
    <w:uiPriority w:val="99"/>
    <w:rPr>
      <w:sz w:val="18"/>
      <w:szCs w:val="18"/>
    </w:rPr>
  </w:style>
  <w:style w:type="character" w:customStyle="1" w:styleId="16">
    <w:name w:val="批注主题 Char"/>
    <w:link w:val="7"/>
    <w:semiHidden/>
    <w:uiPriority w:val="99"/>
    <w:rPr>
      <w:rFonts w:ascii="Times New Roman" w:hAnsi="Times New Roman" w:eastAsia="宋体" w:cs="Times New Roman"/>
      <w:b/>
      <w:bCs/>
      <w:szCs w:val="20"/>
    </w:rPr>
  </w:style>
  <w:style w:type="paragraph" w:styleId="17">
    <w:name w:val="List Paragraph"/>
    <w:basedOn w:val="1"/>
    <w:qFormat/>
    <w:uiPriority w:val="34"/>
    <w:pPr>
      <w:ind w:firstLine="420" w:firstLineChars="200"/>
    </w:pPr>
  </w:style>
  <w:style w:type="paragraph" w:styleId="18">
    <w:name w:val=""/>
    <w:semiHidden/>
    <w:uiPriority w:val="99"/>
    <w:rPr>
      <w:kern w:val="2"/>
      <w:sz w:val="21"/>
      <w:lang w:val="en-US" w:eastAsia="zh-CN" w:bidi="ar-SA"/>
    </w:rPr>
  </w:style>
  <w:style w:type="paragraph" w:customStyle="1" w:styleId="19">
    <w:name w:val="msolistparagraph"/>
    <w:basedOn w:val="1"/>
    <w:uiPriority w:val="0"/>
    <w:pPr>
      <w:keepNext w:val="0"/>
      <w:keepLines w:val="0"/>
      <w:widowControl/>
      <w:suppressLineNumbers w:val="0"/>
      <w:spacing w:before="0" w:beforeAutospacing="0" w:after="0" w:afterAutospacing="0"/>
      <w:ind w:left="0" w:right="0" w:firstLine="420"/>
      <w:jc w:val="both"/>
    </w:pPr>
    <w:rPr>
      <w:rFonts w:hint="eastAsia" w:ascii="Times New Roman" w:hAnsi="Times New Roman" w:eastAsia="宋体" w:cs="Times New Roman"/>
      <w:kern w:val="0"/>
      <w:sz w:val="21"/>
      <w:szCs w:val="21"/>
      <w:lang w:val="en-US" w:eastAsia="zh-CN" w:bidi="ar"/>
    </w:rPr>
  </w:style>
  <w:style w:type="character" w:customStyle="1" w:styleId="20">
    <w:name w:val="font31"/>
    <w:uiPriority w:val="0"/>
    <w:rPr>
      <w:rFonts w:hint="eastAsia" w:ascii="宋体" w:hAnsi="宋体" w:eastAsia="宋体" w:cs="宋体"/>
      <w:color w:val="000000"/>
      <w:sz w:val="18"/>
      <w:szCs w:val="18"/>
      <w:u w:val="none"/>
    </w:rPr>
  </w:style>
  <w:style w:type="character" w:customStyle="1" w:styleId="21">
    <w:name w:val="font21"/>
    <w:uiPriority w:val="0"/>
    <w:rPr>
      <w:rFonts w:hint="default" w:ascii="Times New Roman" w:hAnsi="Times New Roman" w:cs="Times New Roman"/>
      <w:color w:val="000000"/>
      <w:sz w:val="18"/>
      <w:szCs w:val="18"/>
      <w:u w:val="none"/>
    </w:rPr>
  </w:style>
  <w:style w:type="character" w:customStyle="1" w:styleId="22">
    <w:name w:val="font41"/>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3840</Words>
  <Characters>4437</Characters>
  <Lines>36</Lines>
  <Paragraphs>10</Paragraphs>
  <TotalTime>0</TotalTime>
  <ScaleCrop>false</ScaleCrop>
  <LinksUpToDate>false</LinksUpToDate>
  <CharactersWithSpaces>4437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2024-10-23T03:00:00Z</dcterms:created>
  <dc:creator>Wu Han 邬焓</dc:creator>
  <cp:lastModifiedBy>海涛</cp:lastModifiedBy>
  <cp:lastPrinted>2017-05-26T02:37:00Z</cp:lastPrinted>
  <dcterms:modified xsi:type="dcterms:W3CDTF">2024-11-18T02:04:49Z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D8B27786EBBF46768A74D3897439F449_13</vt:lpwstr>
  </property>
</Properties>
</file>